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AB" w:rsidRPr="00A62285" w:rsidRDefault="005B6E2C" w:rsidP="00651DF1">
      <w:pPr>
        <w:jc w:val="right"/>
        <w:rPr>
          <w:b/>
          <w:sz w:val="24"/>
          <w:szCs w:val="24"/>
          <w:rtl/>
        </w:rPr>
      </w:pPr>
      <w:r>
        <w:rPr>
          <w:b/>
          <w:sz w:val="24"/>
          <w:szCs w:val="24"/>
        </w:rPr>
        <w:t>08</w:t>
      </w:r>
      <w:r w:rsidRPr="00A62285">
        <w:rPr>
          <w:b/>
          <w:sz w:val="24"/>
          <w:szCs w:val="24"/>
        </w:rPr>
        <w:t>1</w:t>
      </w:r>
      <w:r w:rsidR="007A651F" w:rsidRPr="007A651F">
        <w:rPr>
          <w:rFonts w:hint="cs"/>
          <w:bCs/>
          <w:sz w:val="24"/>
          <w:szCs w:val="24"/>
          <w:rtl/>
        </w:rPr>
        <w:t>ת</w:t>
      </w:r>
    </w:p>
    <w:p w:rsidR="00F523AB" w:rsidRPr="00A62285" w:rsidRDefault="005B6E2C" w:rsidP="00F523AB">
      <w:pPr>
        <w:jc w:val="right"/>
        <w:rPr>
          <w:sz w:val="24"/>
          <w:szCs w:val="24"/>
        </w:rPr>
      </w:pPr>
      <w:r w:rsidRPr="00A62285">
        <w:rPr>
          <w:sz w:val="24"/>
          <w:szCs w:val="24"/>
        </w:rPr>
        <w:t>Public</w:t>
      </w:r>
    </w:p>
    <w:p w:rsidR="00F523AB" w:rsidRPr="000935DD" w:rsidRDefault="005B6E2C" w:rsidP="00F523A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First International Bank of Israel Ltd.</w:t>
      </w:r>
      <w:proofErr w:type="gramEnd"/>
    </w:p>
    <w:p w:rsidR="00F523AB" w:rsidRPr="000935DD" w:rsidRDefault="005B6E2C" w:rsidP="00F523AB">
      <w:pPr>
        <w:jc w:val="center"/>
        <w:rPr>
          <w:sz w:val="24"/>
          <w:szCs w:val="24"/>
        </w:rPr>
      </w:pPr>
      <w:bookmarkStart w:id="0" w:name="_Hlk504457943"/>
      <w:r w:rsidRPr="000935DD">
        <w:rPr>
          <w:sz w:val="24"/>
          <w:szCs w:val="24"/>
        </w:rPr>
        <w:t>Registration No. 5200</w:t>
      </w:r>
      <w:r>
        <w:rPr>
          <w:sz w:val="24"/>
          <w:szCs w:val="24"/>
        </w:rPr>
        <w:t>29083</w:t>
      </w:r>
    </w:p>
    <w:p w:rsidR="00F523AB" w:rsidRPr="000935DD" w:rsidRDefault="005B6E2C" w:rsidP="00F523AB">
      <w:pPr>
        <w:jc w:val="center"/>
        <w:rPr>
          <w:sz w:val="24"/>
          <w:szCs w:val="24"/>
        </w:rPr>
      </w:pPr>
      <w:r w:rsidRPr="000935DD">
        <w:rPr>
          <w:sz w:val="24"/>
          <w:szCs w:val="24"/>
        </w:rPr>
        <w:t>Securities of the Corporation are listed on The Tel Aviv Stock Exchange</w:t>
      </w:r>
    </w:p>
    <w:p w:rsidR="00F523AB" w:rsidRPr="000935DD" w:rsidRDefault="005B6E2C" w:rsidP="00F523AB">
      <w:pPr>
        <w:jc w:val="center"/>
        <w:rPr>
          <w:sz w:val="24"/>
          <w:szCs w:val="24"/>
        </w:rPr>
      </w:pPr>
      <w:r w:rsidRPr="000935DD">
        <w:rPr>
          <w:sz w:val="24"/>
          <w:szCs w:val="24"/>
        </w:rPr>
        <w:t xml:space="preserve">Abbreviated Name: </w:t>
      </w:r>
      <w:proofErr w:type="spellStart"/>
      <w:r>
        <w:rPr>
          <w:sz w:val="24"/>
          <w:szCs w:val="24"/>
        </w:rPr>
        <w:t>Bein</w:t>
      </w:r>
      <w:r w:rsidRPr="000935DD">
        <w:rPr>
          <w:sz w:val="24"/>
          <w:szCs w:val="24"/>
        </w:rPr>
        <w:t>Leumi</w:t>
      </w:r>
      <w:proofErr w:type="spellEnd"/>
    </w:p>
    <w:p w:rsidR="00F523AB" w:rsidRPr="000935DD" w:rsidRDefault="005B6E2C" w:rsidP="00F523AB">
      <w:pPr>
        <w:jc w:val="center"/>
        <w:rPr>
          <w:sz w:val="24"/>
          <w:szCs w:val="24"/>
        </w:rPr>
      </w:pPr>
      <w:r>
        <w:rPr>
          <w:sz w:val="24"/>
          <w:szCs w:val="24"/>
        </w:rPr>
        <w:t>42 Rothschild Boulevard</w:t>
      </w:r>
      <w:r w:rsidRPr="000935DD">
        <w:rPr>
          <w:sz w:val="24"/>
          <w:szCs w:val="24"/>
        </w:rPr>
        <w:t xml:space="preserve">, Tel Aviv </w:t>
      </w:r>
      <w:r>
        <w:rPr>
          <w:sz w:val="24"/>
          <w:szCs w:val="24"/>
        </w:rPr>
        <w:t>66883</w:t>
      </w:r>
    </w:p>
    <w:p w:rsidR="00F523AB" w:rsidRPr="000935DD" w:rsidRDefault="005B6E2C" w:rsidP="00F523AB">
      <w:pPr>
        <w:jc w:val="center"/>
        <w:rPr>
          <w:sz w:val="24"/>
          <w:szCs w:val="24"/>
        </w:rPr>
      </w:pPr>
      <w:r w:rsidRPr="000935DD">
        <w:rPr>
          <w:sz w:val="24"/>
          <w:szCs w:val="24"/>
        </w:rPr>
        <w:t xml:space="preserve">Phone: </w:t>
      </w:r>
      <w:r>
        <w:rPr>
          <w:sz w:val="24"/>
          <w:szCs w:val="24"/>
        </w:rPr>
        <w:t>03-5196223</w:t>
      </w:r>
      <w:r w:rsidRPr="000935DD">
        <w:rPr>
          <w:sz w:val="24"/>
          <w:szCs w:val="24"/>
        </w:rPr>
        <w:t xml:space="preserve">, </w:t>
      </w:r>
      <w:r>
        <w:rPr>
          <w:sz w:val="24"/>
          <w:szCs w:val="24"/>
        </w:rPr>
        <w:t>03-5196111</w:t>
      </w:r>
      <w:r w:rsidRPr="000935DD">
        <w:rPr>
          <w:sz w:val="24"/>
          <w:szCs w:val="24"/>
        </w:rPr>
        <w:t xml:space="preserve">; </w:t>
      </w:r>
      <w:r>
        <w:rPr>
          <w:sz w:val="24"/>
          <w:szCs w:val="24"/>
        </w:rPr>
        <w:t>Fax</w:t>
      </w:r>
      <w:r w:rsidRPr="000935DD">
        <w:rPr>
          <w:sz w:val="24"/>
          <w:szCs w:val="24"/>
        </w:rPr>
        <w:t xml:space="preserve">: </w:t>
      </w:r>
      <w:r>
        <w:rPr>
          <w:sz w:val="24"/>
          <w:szCs w:val="24"/>
        </w:rPr>
        <w:t>03-5100316</w:t>
      </w:r>
    </w:p>
    <w:p w:rsidR="00F523AB" w:rsidRDefault="005B6E2C" w:rsidP="00F523AB">
      <w:pPr>
        <w:jc w:val="center"/>
        <w:rPr>
          <w:sz w:val="24"/>
          <w:szCs w:val="24"/>
        </w:rPr>
      </w:pPr>
      <w:r w:rsidRPr="000935DD">
        <w:rPr>
          <w:sz w:val="24"/>
          <w:szCs w:val="24"/>
        </w:rPr>
        <w:t>E</w:t>
      </w:r>
      <w:r>
        <w:rPr>
          <w:sz w:val="24"/>
          <w:szCs w:val="24"/>
        </w:rPr>
        <w:t>m</w:t>
      </w:r>
      <w:r w:rsidRPr="000935DD">
        <w:rPr>
          <w:sz w:val="24"/>
          <w:szCs w:val="24"/>
        </w:rPr>
        <w:t xml:space="preserve">ail: </w:t>
      </w:r>
      <w:hyperlink w:history="1">
        <w:r w:rsidRPr="00437896">
          <w:rPr>
            <w:rStyle w:val="Hyperlink"/>
            <w:sz w:val="24"/>
            <w:szCs w:val="24"/>
          </w:rPr>
          <w:t>MAZKIR@FIBIMAIL.CO.IL</w:t>
        </w:r>
      </w:hyperlink>
    </w:p>
    <w:p w:rsidR="00F523AB" w:rsidRPr="000935DD" w:rsidRDefault="005B6E2C" w:rsidP="00F523AB">
      <w:pPr>
        <w:jc w:val="center"/>
        <w:rPr>
          <w:sz w:val="24"/>
          <w:szCs w:val="24"/>
        </w:rPr>
      </w:pPr>
      <w:r>
        <w:rPr>
          <w:sz w:val="24"/>
          <w:szCs w:val="24"/>
        </w:rPr>
        <w:t>Website: www.fibi.co.il</w:t>
      </w:r>
    </w:p>
    <w:bookmarkEnd w:id="0"/>
    <w:p w:rsidR="00F523AB" w:rsidRPr="00536844" w:rsidRDefault="00E0243F" w:rsidP="00F523AB">
      <w:pPr>
        <w:jc w:val="right"/>
        <w:rPr>
          <w:sz w:val="24"/>
          <w:szCs w:val="24"/>
          <w:u w:val="single"/>
        </w:rPr>
      </w:pPr>
    </w:p>
    <w:p w:rsidR="00651DF1" w:rsidRPr="00E0243F" w:rsidRDefault="00223A09" w:rsidP="00296B3A">
      <w:pPr>
        <w:jc w:val="right"/>
        <w:rPr>
          <w:sz w:val="24"/>
          <w:szCs w:val="24"/>
        </w:rPr>
      </w:pPr>
      <w:r w:rsidRPr="00E0243F">
        <w:rPr>
          <w:sz w:val="24"/>
          <w:szCs w:val="24"/>
        </w:rPr>
        <w:t>28/05/2019</w:t>
      </w:r>
    </w:p>
    <w:p w:rsidR="00651DF1" w:rsidRPr="00D226FC" w:rsidRDefault="005B6E2C" w:rsidP="00223A09">
      <w:pPr>
        <w:jc w:val="right"/>
        <w:rPr>
          <w:sz w:val="24"/>
          <w:szCs w:val="24"/>
        </w:rPr>
      </w:pPr>
      <w:r w:rsidRPr="00E0243F">
        <w:rPr>
          <w:sz w:val="24"/>
          <w:szCs w:val="24"/>
        </w:rPr>
        <w:t>Reference: 201</w:t>
      </w:r>
      <w:r w:rsidR="00296B3A" w:rsidRPr="00E0243F">
        <w:rPr>
          <w:sz w:val="24"/>
          <w:szCs w:val="24"/>
        </w:rPr>
        <w:t>9</w:t>
      </w:r>
      <w:r w:rsidRPr="00E0243F">
        <w:rPr>
          <w:sz w:val="24"/>
          <w:szCs w:val="24"/>
        </w:rPr>
        <w:t>-01-</w:t>
      </w:r>
      <w:r w:rsidR="00223A09" w:rsidRPr="00E0243F">
        <w:rPr>
          <w:sz w:val="24"/>
          <w:szCs w:val="24"/>
        </w:rPr>
        <w:t>051769</w:t>
      </w:r>
    </w:p>
    <w:p w:rsidR="00F523AB" w:rsidRPr="000935DD" w:rsidRDefault="00E0243F" w:rsidP="00F523AB">
      <w:pPr>
        <w:jc w:val="right"/>
        <w:rPr>
          <w:sz w:val="28"/>
          <w:szCs w:val="28"/>
          <w:u w:val="single"/>
        </w:rPr>
      </w:pPr>
    </w:p>
    <w:p w:rsidR="00F523AB" w:rsidRPr="00A62285" w:rsidRDefault="005B6E2C" w:rsidP="00F523AB">
      <w:pPr>
        <w:rPr>
          <w:sz w:val="24"/>
          <w:szCs w:val="24"/>
        </w:rPr>
      </w:pPr>
      <w:r w:rsidRPr="00A62285">
        <w:rPr>
          <w:sz w:val="24"/>
          <w:szCs w:val="24"/>
        </w:rPr>
        <w:t xml:space="preserve">To: </w:t>
      </w:r>
      <w:r w:rsidRPr="00A62285">
        <w:rPr>
          <w:sz w:val="24"/>
          <w:szCs w:val="24"/>
        </w:rPr>
        <w:tab/>
        <w:t xml:space="preserve">Israel Securities Authority (www.isa.gov.il)  </w:t>
      </w:r>
    </w:p>
    <w:p w:rsidR="00F523AB" w:rsidRPr="00A62285" w:rsidRDefault="005B6E2C" w:rsidP="00F523AB">
      <w:pPr>
        <w:pStyle w:val="4"/>
        <w:rPr>
          <w:b/>
        </w:rPr>
      </w:pPr>
      <w:r w:rsidRPr="00A62285">
        <w:tab/>
        <w:t>The Tel Aviv Stock Exchange (www.tase.co.il)</w:t>
      </w:r>
    </w:p>
    <w:p w:rsidR="00F523AB" w:rsidRDefault="00E0243F" w:rsidP="00F523AB">
      <w:pPr>
        <w:jc w:val="center"/>
        <w:rPr>
          <w:b/>
          <w:sz w:val="24"/>
          <w:szCs w:val="24"/>
          <w:u w:val="single"/>
        </w:rPr>
      </w:pPr>
    </w:p>
    <w:p w:rsidR="00A553A5" w:rsidRPr="000E0B3D" w:rsidRDefault="005B6E2C" w:rsidP="00B14944">
      <w:pPr>
        <w:jc w:val="center"/>
        <w:rPr>
          <w:b/>
          <w:bCs/>
          <w:sz w:val="24"/>
          <w:szCs w:val="24"/>
          <w:u w:val="single"/>
        </w:rPr>
      </w:pPr>
      <w:r w:rsidRPr="000E0B3D">
        <w:rPr>
          <w:b/>
          <w:bCs/>
          <w:sz w:val="24"/>
          <w:szCs w:val="24"/>
          <w:u w:val="single"/>
        </w:rPr>
        <w:t>Immediate Report on the Distribution of a Cash Dividend on Securities</w:t>
      </w:r>
    </w:p>
    <w:p w:rsidR="009652CC" w:rsidRPr="000E0B3D" w:rsidRDefault="005B6E2C" w:rsidP="00464177">
      <w:pPr>
        <w:pStyle w:val="22"/>
      </w:pPr>
      <w:r w:rsidRPr="000E0B3D">
        <w:t>Regulation 37(a) (Periodic and Immediate Reports) Regulations, 1970</w:t>
      </w:r>
    </w:p>
    <w:p w:rsidR="009652CC" w:rsidRPr="000E0B3D" w:rsidRDefault="00E0243F" w:rsidP="00F1357C">
      <w:pPr>
        <w:pStyle w:val="22"/>
      </w:pPr>
    </w:p>
    <w:p w:rsidR="00464177" w:rsidRPr="000E0B3D" w:rsidRDefault="005B6E2C" w:rsidP="00223A09">
      <w:pPr>
        <w:pStyle w:val="22"/>
        <w:numPr>
          <w:ilvl w:val="0"/>
          <w:numId w:val="1"/>
        </w:numPr>
        <w:jc w:val="both"/>
      </w:pPr>
      <w:r w:rsidRPr="000E0B3D">
        <w:t xml:space="preserve">We hereby report that the distribution of a dividend on the company’s shares was approved on </w:t>
      </w:r>
      <w:r w:rsidR="00223A09">
        <w:t>28/05/2019</w:t>
      </w:r>
      <w:r w:rsidRPr="000E0B3D">
        <w:t xml:space="preserve"> </w:t>
      </w:r>
    </w:p>
    <w:p w:rsidR="00675FD3" w:rsidRPr="000E0B3D" w:rsidRDefault="005B6E2C" w:rsidP="00E07018">
      <w:pPr>
        <w:pStyle w:val="22"/>
        <w:ind w:left="720"/>
        <w:jc w:val="both"/>
      </w:pPr>
      <w:r w:rsidRPr="000E0B3D">
        <w:t xml:space="preserve"> </w:t>
      </w:r>
    </w:p>
    <w:p w:rsidR="00675FD3" w:rsidRPr="000E0B3D" w:rsidRDefault="005B6E2C" w:rsidP="00223A09">
      <w:pPr>
        <w:pStyle w:val="22"/>
        <w:numPr>
          <w:ilvl w:val="0"/>
          <w:numId w:val="1"/>
        </w:numPr>
        <w:jc w:val="both"/>
      </w:pPr>
      <w:r w:rsidRPr="000E0B3D">
        <w:t xml:space="preserve">The total amount of the dividend that will be paid is NIS </w:t>
      </w:r>
      <w:r w:rsidR="00223A09">
        <w:t>85,000,000</w:t>
      </w:r>
      <w:r>
        <w:t>.</w:t>
      </w:r>
    </w:p>
    <w:p w:rsidR="00464177" w:rsidRPr="000E0B3D" w:rsidRDefault="00E0243F" w:rsidP="00E07018">
      <w:pPr>
        <w:pStyle w:val="22"/>
        <w:ind w:left="720"/>
        <w:jc w:val="both"/>
      </w:pPr>
    </w:p>
    <w:p w:rsidR="00464177" w:rsidRPr="000E0B3D" w:rsidRDefault="005B6E2C" w:rsidP="00223A09">
      <w:pPr>
        <w:pStyle w:val="22"/>
        <w:numPr>
          <w:ilvl w:val="0"/>
          <w:numId w:val="1"/>
        </w:numPr>
        <w:jc w:val="both"/>
      </w:pPr>
      <w:r w:rsidRPr="000E0B3D">
        <w:t xml:space="preserve">The balance of the corporation’s profits as defined in section 302 of the Companies Law, 5749-1999, after the distribution which is the subject of this report, will be NIS </w:t>
      </w:r>
      <w:r w:rsidR="00223A09">
        <w:t>7,310,000,000</w:t>
      </w:r>
      <w:r w:rsidRPr="000E0B3D">
        <w:t>.</w:t>
      </w:r>
    </w:p>
    <w:p w:rsidR="00464177" w:rsidRPr="000E0B3D" w:rsidRDefault="005B6E2C" w:rsidP="00464177">
      <w:pPr>
        <w:pStyle w:val="22"/>
        <w:ind w:left="720"/>
        <w:jc w:val="both"/>
      </w:pPr>
      <w:r w:rsidRPr="000E0B3D">
        <w:t xml:space="preserve"> </w:t>
      </w:r>
    </w:p>
    <w:p w:rsidR="00464177" w:rsidRDefault="005B6E2C" w:rsidP="005B6E2C">
      <w:pPr>
        <w:pStyle w:val="22"/>
        <w:numPr>
          <w:ilvl w:val="0"/>
          <w:numId w:val="1"/>
        </w:numPr>
        <w:jc w:val="both"/>
      </w:pPr>
      <w:r w:rsidRPr="000E0B3D">
        <w:t xml:space="preserve">Process of approval of the distribution of the dividend: The Bank’s Board of Directors – </w:t>
      </w:r>
      <w:r>
        <w:t>See section 10 below.</w:t>
      </w:r>
    </w:p>
    <w:p w:rsidR="00D43316" w:rsidRDefault="00E0243F" w:rsidP="00D43316">
      <w:pPr>
        <w:pStyle w:val="af2"/>
      </w:pPr>
    </w:p>
    <w:p w:rsidR="00464177" w:rsidRPr="00E0243F" w:rsidRDefault="005B6E2C" w:rsidP="00413592">
      <w:pPr>
        <w:pStyle w:val="af2"/>
        <w:jc w:val="both"/>
      </w:pPr>
      <w:r w:rsidRPr="00E0243F">
        <w:t xml:space="preserve">The above-mentioned distribution was carried out with the approval of a court, in accordance with section 303 of the Companies Law: </w:t>
      </w:r>
      <w:r w:rsidRPr="00E0243F">
        <w:rPr>
          <w:i/>
          <w:iCs/>
        </w:rPr>
        <w:t>No</w:t>
      </w:r>
      <w:r w:rsidRPr="00E0243F">
        <w:t>.</w:t>
      </w:r>
    </w:p>
    <w:p w:rsidR="00464177" w:rsidRPr="00E0243F" w:rsidRDefault="005B6E2C" w:rsidP="00BE00A3">
      <w:pPr>
        <w:pStyle w:val="22"/>
        <w:numPr>
          <w:ilvl w:val="0"/>
          <w:numId w:val="1"/>
        </w:numPr>
        <w:jc w:val="both"/>
      </w:pPr>
      <w:r w:rsidRPr="00E0243F">
        <w:t xml:space="preserve">The determinative date (cum date): </w:t>
      </w:r>
      <w:r w:rsidR="00BE00A3" w:rsidRPr="00E0243F">
        <w:t>06</w:t>
      </w:r>
      <w:r w:rsidRPr="00E0243F">
        <w:t xml:space="preserve"> </w:t>
      </w:r>
      <w:r w:rsidR="00BE00A3" w:rsidRPr="00E0243F">
        <w:t>June</w:t>
      </w:r>
      <w:r w:rsidRPr="00E0243F">
        <w:t xml:space="preserve"> 201</w:t>
      </w:r>
      <w:r w:rsidR="00296B3A" w:rsidRPr="00E0243F">
        <w:t>9</w:t>
      </w:r>
    </w:p>
    <w:p w:rsidR="00201FA9" w:rsidRPr="00E0243F" w:rsidRDefault="005B6E2C" w:rsidP="00BE00A3">
      <w:pPr>
        <w:pStyle w:val="22"/>
        <w:ind w:left="720"/>
        <w:jc w:val="both"/>
      </w:pPr>
      <w:proofErr w:type="spellStart"/>
      <w:r w:rsidRPr="00E0243F">
        <w:t>Ex date</w:t>
      </w:r>
      <w:proofErr w:type="spellEnd"/>
      <w:r w:rsidRPr="00E0243F">
        <w:t xml:space="preserve">: </w:t>
      </w:r>
      <w:r w:rsidR="00BE00A3" w:rsidRPr="00E0243F">
        <w:t>06</w:t>
      </w:r>
      <w:r w:rsidR="00296B3A" w:rsidRPr="00E0243F">
        <w:t xml:space="preserve"> </w:t>
      </w:r>
      <w:r w:rsidR="00BE00A3" w:rsidRPr="00E0243F">
        <w:t xml:space="preserve">June </w:t>
      </w:r>
      <w:r w:rsidR="00296B3A" w:rsidRPr="00E0243F">
        <w:t>2019</w:t>
      </w:r>
    </w:p>
    <w:p w:rsidR="00EC125F" w:rsidRPr="000E0B3D" w:rsidRDefault="005B6E2C" w:rsidP="00BE00A3">
      <w:pPr>
        <w:pStyle w:val="22"/>
        <w:ind w:left="720"/>
        <w:jc w:val="both"/>
      </w:pPr>
      <w:r w:rsidRPr="00E0243F">
        <w:t xml:space="preserve">Payment date: </w:t>
      </w:r>
      <w:r w:rsidR="00BE00A3" w:rsidRPr="00E0243F">
        <w:t>17</w:t>
      </w:r>
      <w:r w:rsidR="00296B3A" w:rsidRPr="00E0243F">
        <w:t xml:space="preserve"> </w:t>
      </w:r>
      <w:r w:rsidR="00BE00A3" w:rsidRPr="00E0243F">
        <w:t xml:space="preserve">June </w:t>
      </w:r>
      <w:r w:rsidR="00296B3A" w:rsidRPr="00E0243F">
        <w:t>2019</w:t>
      </w:r>
    </w:p>
    <w:p w:rsidR="00201FA9" w:rsidRPr="000E0B3D" w:rsidRDefault="00E0243F" w:rsidP="00201FA9">
      <w:pPr>
        <w:pStyle w:val="22"/>
        <w:jc w:val="both"/>
        <w:rPr>
          <w:rtl/>
        </w:rPr>
      </w:pPr>
    </w:p>
    <w:p w:rsidR="00201FA9" w:rsidRPr="000E0B3D" w:rsidRDefault="005B6E2C" w:rsidP="005B6E2C">
      <w:pPr>
        <w:pStyle w:val="22"/>
        <w:numPr>
          <w:ilvl w:val="0"/>
          <w:numId w:val="1"/>
        </w:numPr>
        <w:jc w:val="both"/>
      </w:pPr>
      <w:r w:rsidRPr="000E0B3D">
        <w:t>Details of payment:</w:t>
      </w:r>
    </w:p>
    <w:p w:rsidR="00413592" w:rsidRDefault="005B6E2C" w:rsidP="00CA2C72">
      <w:pPr>
        <w:pStyle w:val="22"/>
        <w:numPr>
          <w:ilvl w:val="0"/>
          <w:numId w:val="3"/>
        </w:numPr>
        <w:jc w:val="both"/>
      </w:pPr>
      <w:r>
        <w:t>D</w:t>
      </w:r>
      <w:r w:rsidRPr="000E0B3D">
        <w:t>ividend distributed by a company that is a resident of Israel (</w:t>
      </w:r>
      <w:r w:rsidRPr="00E07018">
        <w:t>regarding the</w:t>
      </w:r>
      <w:r w:rsidRPr="000E0B3D">
        <w:t xml:space="preserve"> composition of the sources of the dividend and the tax rates, see section 7a)</w:t>
      </w:r>
    </w:p>
    <w:p w:rsidR="00D646F2" w:rsidRDefault="005B6E2C" w:rsidP="00CA2C72">
      <w:pPr>
        <w:pStyle w:val="22"/>
        <w:numPr>
          <w:ilvl w:val="0"/>
          <w:numId w:val="4"/>
        </w:numPr>
        <w:jc w:val="both"/>
      </w:pPr>
      <w:r>
        <w:t>Dividend distributed by a real estate investments fund (</w:t>
      </w:r>
      <w:r w:rsidRPr="00E07018">
        <w:t>regarding the</w:t>
      </w:r>
      <w:r w:rsidRPr="000E0B3D">
        <w:t xml:space="preserve"> composition of the sources of the dividend a</w:t>
      </w:r>
      <w:r>
        <w:t>nd the tax rates, see section 7c</w:t>
      </w:r>
      <w:r w:rsidRPr="000E0B3D">
        <w:t>)</w:t>
      </w:r>
    </w:p>
    <w:p w:rsidR="00D646F2" w:rsidRPr="000E0B3D" w:rsidRDefault="00E0243F" w:rsidP="00413592">
      <w:pPr>
        <w:pStyle w:val="22"/>
        <w:ind w:left="720"/>
        <w:jc w:val="both"/>
      </w:pPr>
    </w:p>
    <w:p w:rsidR="00464177" w:rsidRPr="000E0B3D" w:rsidRDefault="00E0243F" w:rsidP="00464177">
      <w:pPr>
        <w:pStyle w:val="22"/>
        <w:ind w:left="720"/>
        <w:jc w:val="both"/>
      </w:pPr>
    </w:p>
    <w:tbl>
      <w:tblPr>
        <w:tblW w:w="8406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170"/>
        <w:gridCol w:w="1080"/>
        <w:gridCol w:w="1080"/>
        <w:gridCol w:w="1080"/>
        <w:gridCol w:w="990"/>
        <w:gridCol w:w="1080"/>
        <w:gridCol w:w="738"/>
      </w:tblGrid>
      <w:tr w:rsidR="006D4312" w:rsidTr="00921242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6" w:rsidRPr="000E0B3D" w:rsidRDefault="005B6E2C" w:rsidP="00A51E73">
            <w:pPr>
              <w:pStyle w:val="22"/>
              <w:rPr>
                <w:i/>
                <w:iCs/>
                <w:sz w:val="18"/>
                <w:szCs w:val="18"/>
              </w:rPr>
            </w:pPr>
            <w:r w:rsidRPr="000E0B3D">
              <w:rPr>
                <w:iCs/>
                <w:sz w:val="18"/>
                <w:szCs w:val="18"/>
              </w:rPr>
              <w:lastRenderedPageBreak/>
              <w:t>Number of entitled security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6" w:rsidRPr="000E0B3D" w:rsidRDefault="00E0243F" w:rsidP="00A51E73">
            <w:pPr>
              <w:pStyle w:val="22"/>
              <w:rPr>
                <w:i/>
                <w:iCs/>
                <w:sz w:val="18"/>
                <w:szCs w:val="18"/>
              </w:rPr>
            </w:pPr>
          </w:p>
          <w:p w:rsidR="00425EE6" w:rsidRPr="000E0B3D" w:rsidRDefault="005B6E2C" w:rsidP="00A51E73">
            <w:pPr>
              <w:pStyle w:val="22"/>
              <w:rPr>
                <w:i/>
                <w:iCs/>
                <w:sz w:val="18"/>
                <w:szCs w:val="18"/>
              </w:rPr>
            </w:pPr>
            <w:r w:rsidRPr="000E0B3D">
              <w:rPr>
                <w:iCs/>
                <w:sz w:val="18"/>
                <w:szCs w:val="18"/>
              </w:rPr>
              <w:t>Name of Security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6" w:rsidRPr="000E0B3D" w:rsidRDefault="005B6E2C" w:rsidP="00A51E73">
            <w:pPr>
              <w:pStyle w:val="22"/>
              <w:rPr>
                <w:i/>
                <w:iCs/>
                <w:sz w:val="18"/>
                <w:szCs w:val="18"/>
              </w:rPr>
            </w:pPr>
            <w:r w:rsidRPr="000E0B3D">
              <w:rPr>
                <w:iCs/>
                <w:sz w:val="18"/>
                <w:szCs w:val="18"/>
              </w:rPr>
              <w:t>Amount of dividend per single security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6" w:rsidRPr="000E0B3D" w:rsidRDefault="005B6E2C" w:rsidP="00A51E73">
            <w:pPr>
              <w:pStyle w:val="22"/>
              <w:rPr>
                <w:i/>
                <w:iCs/>
                <w:sz w:val="18"/>
                <w:szCs w:val="18"/>
              </w:rPr>
            </w:pPr>
            <w:r w:rsidRPr="000E0B3D">
              <w:rPr>
                <w:iCs/>
                <w:sz w:val="18"/>
                <w:szCs w:val="18"/>
              </w:rPr>
              <w:t>Currency of the dividend amount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6" w:rsidRPr="000E0B3D" w:rsidRDefault="005B6E2C" w:rsidP="00A51E73">
            <w:pPr>
              <w:pStyle w:val="22"/>
              <w:rPr>
                <w:i/>
                <w:iCs/>
                <w:sz w:val="18"/>
                <w:szCs w:val="18"/>
              </w:rPr>
            </w:pPr>
            <w:r w:rsidRPr="000E0B3D">
              <w:rPr>
                <w:iCs/>
                <w:sz w:val="18"/>
                <w:szCs w:val="18"/>
              </w:rPr>
              <w:t>Currency of payment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6" w:rsidRPr="000E0B3D" w:rsidRDefault="005B6E2C" w:rsidP="00A51E73">
            <w:pPr>
              <w:pStyle w:val="22"/>
              <w:rPr>
                <w:i/>
                <w:iCs/>
                <w:sz w:val="18"/>
                <w:szCs w:val="18"/>
              </w:rPr>
            </w:pPr>
            <w:r w:rsidRPr="000E0B3D">
              <w:rPr>
                <w:iCs/>
                <w:sz w:val="18"/>
                <w:szCs w:val="18"/>
              </w:rPr>
              <w:t xml:space="preserve">Exchange rate date for the payment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6" w:rsidRPr="000E0B3D" w:rsidRDefault="005B6E2C" w:rsidP="00A51E73">
            <w:pPr>
              <w:pStyle w:val="22"/>
              <w:rPr>
                <w:i/>
                <w:iCs/>
                <w:sz w:val="18"/>
                <w:szCs w:val="18"/>
              </w:rPr>
            </w:pPr>
            <w:r w:rsidRPr="000E0B3D">
              <w:rPr>
                <w:iCs/>
                <w:sz w:val="18"/>
                <w:szCs w:val="18"/>
              </w:rPr>
              <w:t xml:space="preserve">Tax </w:t>
            </w:r>
          </w:p>
          <w:p w:rsidR="00425EE6" w:rsidRPr="000E0B3D" w:rsidRDefault="005B6E2C" w:rsidP="00A51E73">
            <w:pPr>
              <w:pStyle w:val="22"/>
              <w:rPr>
                <w:i/>
                <w:iCs/>
                <w:sz w:val="18"/>
                <w:szCs w:val="18"/>
              </w:rPr>
            </w:pPr>
            <w:r w:rsidRPr="000E0B3D">
              <w:rPr>
                <w:iCs/>
                <w:sz w:val="18"/>
                <w:szCs w:val="18"/>
              </w:rPr>
              <w:t xml:space="preserve">rate: </w:t>
            </w:r>
          </w:p>
          <w:p w:rsidR="00425EE6" w:rsidRPr="000E0B3D" w:rsidRDefault="005B6E2C" w:rsidP="00A51E73">
            <w:pPr>
              <w:pStyle w:val="22"/>
              <w:rPr>
                <w:i/>
                <w:iCs/>
                <w:sz w:val="18"/>
                <w:szCs w:val="18"/>
              </w:rPr>
            </w:pPr>
            <w:r w:rsidRPr="000E0B3D">
              <w:rPr>
                <w:iCs/>
                <w:sz w:val="18"/>
                <w:szCs w:val="18"/>
              </w:rPr>
              <w:t>Individuals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6" w:rsidRPr="000E0B3D" w:rsidRDefault="005B6E2C" w:rsidP="00A51E73">
            <w:pPr>
              <w:pStyle w:val="22"/>
              <w:rPr>
                <w:i/>
                <w:iCs/>
                <w:sz w:val="18"/>
                <w:szCs w:val="18"/>
              </w:rPr>
            </w:pPr>
            <w:r w:rsidRPr="000E0B3D">
              <w:rPr>
                <w:iCs/>
                <w:sz w:val="18"/>
                <w:szCs w:val="18"/>
              </w:rPr>
              <w:t xml:space="preserve">Tax rate: </w:t>
            </w:r>
            <w:proofErr w:type="spellStart"/>
            <w:r w:rsidRPr="000E0B3D">
              <w:rPr>
                <w:iCs/>
                <w:sz w:val="18"/>
                <w:szCs w:val="18"/>
              </w:rPr>
              <w:t>cor-porate</w:t>
            </w:r>
            <w:proofErr w:type="spellEnd"/>
          </w:p>
        </w:tc>
      </w:tr>
      <w:tr w:rsidR="006D4312" w:rsidTr="00921242">
        <w:tc>
          <w:tcPr>
            <w:tcW w:w="1188" w:type="dxa"/>
            <w:tcBorders>
              <w:top w:val="single" w:sz="4" w:space="0" w:color="auto"/>
            </w:tcBorders>
          </w:tcPr>
          <w:p w:rsidR="00425EE6" w:rsidRPr="000E0B3D" w:rsidRDefault="005B6E2C" w:rsidP="00A51E73">
            <w:pPr>
              <w:pStyle w:val="22"/>
              <w:rPr>
                <w:i/>
                <w:iCs/>
              </w:rPr>
            </w:pPr>
            <w:r>
              <w:rPr>
                <w:iCs/>
              </w:rPr>
              <w:t>593038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25EE6" w:rsidRPr="000E0B3D" w:rsidRDefault="005B6E2C" w:rsidP="00D646F2">
            <w:pPr>
              <w:pStyle w:val="22"/>
              <w:rPr>
                <w:i/>
                <w:iCs/>
              </w:rPr>
            </w:pPr>
            <w:r>
              <w:rPr>
                <w:iCs/>
              </w:rPr>
              <w:t xml:space="preserve">Ordinary share with nominal value NIS 0.05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25EE6" w:rsidRPr="000E0B3D" w:rsidRDefault="00741BA0" w:rsidP="00DC03AB">
            <w:pPr>
              <w:pStyle w:val="22"/>
              <w:rPr>
                <w:i/>
                <w:iCs/>
                <w:sz w:val="18"/>
                <w:szCs w:val="18"/>
              </w:rPr>
            </w:pPr>
            <w:r w:rsidRPr="00E0243F">
              <w:rPr>
                <w:iCs/>
                <w:sz w:val="20"/>
              </w:rPr>
              <w:t>0.8472039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25EE6" w:rsidRPr="000E0B3D" w:rsidRDefault="005B6E2C" w:rsidP="00A51E73">
            <w:pPr>
              <w:pStyle w:val="22"/>
              <w:rPr>
                <w:i/>
                <w:iCs/>
              </w:rPr>
            </w:pPr>
            <w:r w:rsidRPr="000E0B3D">
              <w:rPr>
                <w:iCs/>
              </w:rPr>
              <w:t>NIS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25EE6" w:rsidRPr="000E0B3D" w:rsidRDefault="005B6E2C" w:rsidP="00A51E73">
            <w:pPr>
              <w:pStyle w:val="22"/>
              <w:rPr>
                <w:i/>
                <w:iCs/>
              </w:rPr>
            </w:pPr>
            <w:r w:rsidRPr="000E0B3D">
              <w:rPr>
                <w:iCs/>
              </w:rPr>
              <w:t>NIS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25EE6" w:rsidRPr="000E0B3D" w:rsidRDefault="005B6E2C" w:rsidP="00A51E73">
            <w:pPr>
              <w:pStyle w:val="22"/>
              <w:rPr>
                <w:i/>
                <w:iCs/>
              </w:rPr>
            </w:pPr>
            <w:r w:rsidRPr="000E0B3D">
              <w:rPr>
                <w:iCs/>
              </w:rPr>
              <w:t>________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25EE6" w:rsidRPr="000E0B3D" w:rsidRDefault="005B6E2C" w:rsidP="00A51E73">
            <w:pPr>
              <w:pStyle w:val="22"/>
              <w:rPr>
                <w:i/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425EE6" w:rsidRPr="000E0B3D" w:rsidRDefault="005B6E2C" w:rsidP="00A51E73">
            <w:pPr>
              <w:pStyle w:val="22"/>
              <w:rPr>
                <w:i/>
                <w:iCs/>
              </w:rPr>
            </w:pPr>
            <w:r>
              <w:rPr>
                <w:iCs/>
              </w:rPr>
              <w:t>0</w:t>
            </w:r>
          </w:p>
        </w:tc>
      </w:tr>
    </w:tbl>
    <w:p w:rsidR="00464177" w:rsidRDefault="00E0243F" w:rsidP="00464177">
      <w:pPr>
        <w:pStyle w:val="af2"/>
      </w:pPr>
    </w:p>
    <w:p w:rsidR="00921242" w:rsidRPr="00921242" w:rsidRDefault="005B6E2C" w:rsidP="00464177">
      <w:pPr>
        <w:pStyle w:val="af2"/>
        <w:rPr>
          <w:sz w:val="24"/>
          <w:szCs w:val="24"/>
        </w:rPr>
      </w:pPr>
      <w:r w:rsidRPr="00921242">
        <w:rPr>
          <w:sz w:val="24"/>
          <w:szCs w:val="24"/>
        </w:rPr>
        <w:t>The amount of the dividend to be paid should be indicated with an accuracy of up to 7 digits after the decimal point for a payment in New Israeli Shekels and up to 5 digits after the decimal point if the payment is made in a different currency.</w:t>
      </w:r>
    </w:p>
    <w:p w:rsidR="00464177" w:rsidRDefault="005B6E2C" w:rsidP="00201FA9">
      <w:pPr>
        <w:pStyle w:val="22"/>
        <w:ind w:left="720"/>
        <w:jc w:val="both"/>
      </w:pPr>
      <w:r>
        <w:t>The dividend amount per single security is final.</w:t>
      </w:r>
    </w:p>
    <w:p w:rsidR="00D646F2" w:rsidRPr="000E0B3D" w:rsidRDefault="00E0243F" w:rsidP="00201FA9">
      <w:pPr>
        <w:pStyle w:val="22"/>
        <w:ind w:left="720"/>
        <w:jc w:val="both"/>
      </w:pPr>
    </w:p>
    <w:p w:rsidR="00201FA9" w:rsidRPr="000E0B3D" w:rsidRDefault="005B6E2C" w:rsidP="005B6E2C">
      <w:pPr>
        <w:pStyle w:val="22"/>
        <w:numPr>
          <w:ilvl w:val="0"/>
          <w:numId w:val="1"/>
        </w:numPr>
        <w:jc w:val="both"/>
      </w:pPr>
      <w:r w:rsidRPr="000E0B3D">
        <w:t xml:space="preserve">The following rates for withholding of tax at source are for the purpose of carrying out withholding at source by stock exchange members. </w:t>
      </w:r>
    </w:p>
    <w:p w:rsidR="00120054" w:rsidRPr="000E0B3D" w:rsidRDefault="00E0243F" w:rsidP="00120054">
      <w:pPr>
        <w:pStyle w:val="22"/>
        <w:ind w:left="720"/>
        <w:jc w:val="both"/>
      </w:pPr>
    </w:p>
    <w:p w:rsidR="00120054" w:rsidRPr="000E0B3D" w:rsidRDefault="005B6E2C" w:rsidP="00120054">
      <w:pPr>
        <w:pStyle w:val="22"/>
        <w:ind w:left="720"/>
        <w:jc w:val="both"/>
      </w:pPr>
      <w:proofErr w:type="gramStart"/>
      <w:r w:rsidRPr="000E0B3D">
        <w:t>7a. Composition of sources of the dividend distributed by a company which is resident in Israel, from shares and financial instruments, excluding REITS.</w:t>
      </w:r>
      <w:proofErr w:type="gramEnd"/>
    </w:p>
    <w:p w:rsidR="00201FA9" w:rsidRPr="000E0B3D" w:rsidRDefault="00E0243F" w:rsidP="00201FA9">
      <w:pPr>
        <w:pStyle w:val="22"/>
        <w:ind w:left="720"/>
        <w:jc w:val="both"/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163"/>
        <w:gridCol w:w="986"/>
        <w:gridCol w:w="1206"/>
        <w:gridCol w:w="1206"/>
        <w:gridCol w:w="999"/>
      </w:tblGrid>
      <w:tr w:rsidR="006D4312" w:rsidTr="00201FA9">
        <w:tc>
          <w:tcPr>
            <w:tcW w:w="0" w:type="auto"/>
          </w:tcPr>
          <w:p w:rsidR="00201FA9" w:rsidRPr="000E0B3D" w:rsidRDefault="00E0243F" w:rsidP="00201FA9">
            <w:pPr>
              <w:pStyle w:val="22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01FA9" w:rsidRPr="000E0B3D" w:rsidRDefault="005B6E2C" w:rsidP="00201FA9">
            <w:pPr>
              <w:pStyle w:val="22"/>
              <w:jc w:val="both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% of the dividend</w:t>
            </w:r>
          </w:p>
        </w:tc>
        <w:tc>
          <w:tcPr>
            <w:tcW w:w="0" w:type="auto"/>
          </w:tcPr>
          <w:p w:rsidR="00201FA9" w:rsidRPr="000E0B3D" w:rsidRDefault="005B6E2C" w:rsidP="00201FA9">
            <w:pPr>
              <w:pStyle w:val="22"/>
              <w:jc w:val="both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Individuals</w:t>
            </w:r>
          </w:p>
        </w:tc>
        <w:tc>
          <w:tcPr>
            <w:tcW w:w="0" w:type="auto"/>
          </w:tcPr>
          <w:p w:rsidR="00201FA9" w:rsidRPr="000E0B3D" w:rsidRDefault="005B6E2C" w:rsidP="00201FA9">
            <w:pPr>
              <w:pStyle w:val="22"/>
              <w:jc w:val="both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 xml:space="preserve">Companies </w:t>
            </w:r>
          </w:p>
        </w:tc>
        <w:tc>
          <w:tcPr>
            <w:tcW w:w="0" w:type="auto"/>
          </w:tcPr>
          <w:p w:rsidR="00201FA9" w:rsidRPr="000E0B3D" w:rsidRDefault="005B6E2C" w:rsidP="00201FA9">
            <w:pPr>
              <w:pStyle w:val="22"/>
              <w:jc w:val="both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Foreign residents</w:t>
            </w:r>
          </w:p>
        </w:tc>
      </w:tr>
      <w:tr w:rsidR="006D4312" w:rsidTr="00E4032C">
        <w:tc>
          <w:tcPr>
            <w:tcW w:w="3937" w:type="dxa"/>
          </w:tcPr>
          <w:p w:rsidR="00201FA9" w:rsidRPr="000E0B3D" w:rsidRDefault="005B6E2C" w:rsidP="00EC125F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 xml:space="preserve">Income subject to companies tax </w:t>
            </w:r>
            <w:r w:rsidRPr="000E0B3D">
              <w:rPr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986" w:type="dxa"/>
            <w:vAlign w:val="bottom"/>
          </w:tcPr>
          <w:p w:rsidR="00201FA9" w:rsidRPr="000E0B3D" w:rsidRDefault="005B6E2C" w:rsidP="00AE40A3">
            <w:pPr>
              <w:pStyle w:val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E0B3D">
              <w:rPr>
                <w:sz w:val="22"/>
                <w:szCs w:val="22"/>
              </w:rPr>
              <w:t>0%</w:t>
            </w:r>
          </w:p>
        </w:tc>
        <w:tc>
          <w:tcPr>
            <w:tcW w:w="0" w:type="auto"/>
            <w:vAlign w:val="bottom"/>
          </w:tcPr>
          <w:p w:rsidR="00201FA9" w:rsidRPr="000E0B3D" w:rsidRDefault="005B6E2C" w:rsidP="00AE40A3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25%</w:t>
            </w:r>
          </w:p>
        </w:tc>
        <w:tc>
          <w:tcPr>
            <w:tcW w:w="0" w:type="auto"/>
            <w:vAlign w:val="bottom"/>
          </w:tcPr>
          <w:p w:rsidR="00201FA9" w:rsidRPr="000E0B3D" w:rsidRDefault="005B6E2C" w:rsidP="00AE40A3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0%</w:t>
            </w:r>
          </w:p>
        </w:tc>
        <w:tc>
          <w:tcPr>
            <w:tcW w:w="0" w:type="auto"/>
            <w:vAlign w:val="bottom"/>
          </w:tcPr>
          <w:p w:rsidR="00201FA9" w:rsidRPr="000E0B3D" w:rsidRDefault="005B6E2C" w:rsidP="00AE40A3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25%</w:t>
            </w:r>
          </w:p>
        </w:tc>
      </w:tr>
      <w:tr w:rsidR="006D4312" w:rsidTr="00AE40A3">
        <w:tc>
          <w:tcPr>
            <w:tcW w:w="0" w:type="auto"/>
          </w:tcPr>
          <w:p w:rsidR="00201FA9" w:rsidRPr="000E0B3D" w:rsidRDefault="005B6E2C" w:rsidP="00EC125F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 xml:space="preserve">Income from foreign sources </w:t>
            </w:r>
            <w:r w:rsidRPr="000E0B3D">
              <w:rPr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0" w:type="auto"/>
            <w:vAlign w:val="bottom"/>
          </w:tcPr>
          <w:p w:rsidR="00201FA9" w:rsidRPr="000E0B3D" w:rsidRDefault="005B6E2C" w:rsidP="00AE40A3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201FA9" w:rsidRPr="000E0B3D" w:rsidRDefault="005B6E2C" w:rsidP="00D646F2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25%</w:t>
            </w:r>
          </w:p>
        </w:tc>
        <w:tc>
          <w:tcPr>
            <w:tcW w:w="0" w:type="auto"/>
            <w:vAlign w:val="bottom"/>
          </w:tcPr>
          <w:p w:rsidR="00201FA9" w:rsidRPr="000E0B3D" w:rsidRDefault="005B6E2C" w:rsidP="00AE40A3">
            <w:pPr>
              <w:pStyle w:val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0E0B3D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bottom"/>
          </w:tcPr>
          <w:p w:rsidR="00201FA9" w:rsidRPr="000E0B3D" w:rsidRDefault="005B6E2C" w:rsidP="00AE40A3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25%</w:t>
            </w:r>
          </w:p>
        </w:tc>
      </w:tr>
      <w:tr w:rsidR="006D4312" w:rsidTr="00B42959">
        <w:tc>
          <w:tcPr>
            <w:tcW w:w="0" w:type="auto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Income from an approved/benefitted enterprise</w:t>
            </w:r>
            <w:r w:rsidRPr="000E0B3D">
              <w:rPr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0" w:type="auto"/>
          </w:tcPr>
          <w:p w:rsidR="00EB590A" w:rsidRDefault="00E0243F" w:rsidP="00EB590A">
            <w:pPr>
              <w:rPr>
                <w:sz w:val="22"/>
                <w:szCs w:val="22"/>
              </w:rPr>
            </w:pPr>
          </w:p>
          <w:p w:rsidR="00EB590A" w:rsidRDefault="005B6E2C" w:rsidP="00EB590A">
            <w:r w:rsidRPr="003F342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15%</w:t>
            </w:r>
          </w:p>
        </w:tc>
        <w:tc>
          <w:tcPr>
            <w:tcW w:w="0" w:type="auto"/>
            <w:vAlign w:val="bottom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15%</w:t>
            </w:r>
          </w:p>
        </w:tc>
        <w:tc>
          <w:tcPr>
            <w:tcW w:w="0" w:type="auto"/>
            <w:vAlign w:val="bottom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15%</w:t>
            </w:r>
          </w:p>
        </w:tc>
      </w:tr>
      <w:tr w:rsidR="006D4312" w:rsidTr="00B42959">
        <w:tc>
          <w:tcPr>
            <w:tcW w:w="0" w:type="auto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Income from an Ireland approved enterprise up to 2013</w:t>
            </w:r>
            <w:r w:rsidRPr="000E0B3D">
              <w:rPr>
                <w:sz w:val="22"/>
                <w:szCs w:val="22"/>
                <w:vertAlign w:val="superscript"/>
              </w:rPr>
              <w:t>(4)</w:t>
            </w:r>
          </w:p>
        </w:tc>
        <w:tc>
          <w:tcPr>
            <w:tcW w:w="0" w:type="auto"/>
          </w:tcPr>
          <w:p w:rsidR="00EB590A" w:rsidRDefault="00E0243F" w:rsidP="00EB590A">
            <w:pPr>
              <w:rPr>
                <w:sz w:val="22"/>
                <w:szCs w:val="22"/>
              </w:rPr>
            </w:pPr>
          </w:p>
          <w:p w:rsidR="00EB590A" w:rsidRDefault="005B6E2C" w:rsidP="00EB590A">
            <w:r w:rsidRPr="003F342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15%</w:t>
            </w:r>
          </w:p>
        </w:tc>
        <w:tc>
          <w:tcPr>
            <w:tcW w:w="0" w:type="auto"/>
            <w:vAlign w:val="bottom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15%</w:t>
            </w:r>
          </w:p>
        </w:tc>
        <w:tc>
          <w:tcPr>
            <w:tcW w:w="0" w:type="auto"/>
            <w:vAlign w:val="bottom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4%</w:t>
            </w:r>
          </w:p>
        </w:tc>
      </w:tr>
      <w:tr w:rsidR="006D4312" w:rsidTr="00B42959">
        <w:tc>
          <w:tcPr>
            <w:tcW w:w="0" w:type="auto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Income from an Ireland Approved Enterprise from 2014</w:t>
            </w:r>
            <w:r w:rsidRPr="000E0B3D">
              <w:rPr>
                <w:sz w:val="22"/>
                <w:szCs w:val="22"/>
                <w:vertAlign w:val="superscript"/>
              </w:rPr>
              <w:t>(5)</w:t>
            </w:r>
          </w:p>
        </w:tc>
        <w:tc>
          <w:tcPr>
            <w:tcW w:w="0" w:type="auto"/>
          </w:tcPr>
          <w:p w:rsidR="00EB590A" w:rsidRDefault="00E0243F" w:rsidP="00EB590A">
            <w:pPr>
              <w:rPr>
                <w:sz w:val="22"/>
                <w:szCs w:val="22"/>
              </w:rPr>
            </w:pPr>
          </w:p>
          <w:p w:rsidR="00EB590A" w:rsidRDefault="005B6E2C" w:rsidP="00EB590A">
            <w:r w:rsidRPr="003F342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20%</w:t>
            </w:r>
          </w:p>
        </w:tc>
        <w:tc>
          <w:tcPr>
            <w:tcW w:w="0" w:type="auto"/>
            <w:vAlign w:val="bottom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20%</w:t>
            </w:r>
          </w:p>
        </w:tc>
        <w:tc>
          <w:tcPr>
            <w:tcW w:w="0" w:type="auto"/>
            <w:vAlign w:val="bottom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4%</w:t>
            </w:r>
          </w:p>
        </w:tc>
      </w:tr>
      <w:tr w:rsidR="006D4312" w:rsidTr="00B42959">
        <w:tc>
          <w:tcPr>
            <w:tcW w:w="0" w:type="auto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Preferred income</w:t>
            </w:r>
          </w:p>
        </w:tc>
        <w:tc>
          <w:tcPr>
            <w:tcW w:w="0" w:type="auto"/>
          </w:tcPr>
          <w:p w:rsidR="00EB590A" w:rsidRDefault="005B6E2C" w:rsidP="00EB590A">
            <w:r w:rsidRPr="003F342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20%</w:t>
            </w:r>
          </w:p>
        </w:tc>
        <w:tc>
          <w:tcPr>
            <w:tcW w:w="0" w:type="auto"/>
            <w:vAlign w:val="bottom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0%</w:t>
            </w:r>
          </w:p>
        </w:tc>
        <w:tc>
          <w:tcPr>
            <w:tcW w:w="0" w:type="auto"/>
            <w:vAlign w:val="bottom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20%</w:t>
            </w:r>
          </w:p>
        </w:tc>
      </w:tr>
      <w:tr w:rsidR="006D4312" w:rsidTr="00B42959">
        <w:tc>
          <w:tcPr>
            <w:tcW w:w="0" w:type="auto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 xml:space="preserve">Income from a tourism/agriculture approved enterprise </w:t>
            </w:r>
            <w:r w:rsidRPr="000E0B3D">
              <w:rPr>
                <w:sz w:val="22"/>
                <w:szCs w:val="22"/>
                <w:vertAlign w:val="superscript"/>
              </w:rPr>
              <w:t>(6)</w:t>
            </w:r>
          </w:p>
        </w:tc>
        <w:tc>
          <w:tcPr>
            <w:tcW w:w="0" w:type="auto"/>
          </w:tcPr>
          <w:p w:rsidR="00EB590A" w:rsidRDefault="00E0243F" w:rsidP="00EB590A">
            <w:pPr>
              <w:rPr>
                <w:sz w:val="22"/>
                <w:szCs w:val="22"/>
              </w:rPr>
            </w:pPr>
          </w:p>
          <w:p w:rsidR="00EB590A" w:rsidRDefault="005B6E2C" w:rsidP="00EB590A">
            <w:r w:rsidRPr="003F342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20%</w:t>
            </w:r>
          </w:p>
        </w:tc>
        <w:tc>
          <w:tcPr>
            <w:tcW w:w="0" w:type="auto"/>
            <w:vAlign w:val="bottom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20%</w:t>
            </w:r>
          </w:p>
        </w:tc>
        <w:tc>
          <w:tcPr>
            <w:tcW w:w="0" w:type="auto"/>
            <w:vAlign w:val="bottom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20%</w:t>
            </w:r>
          </w:p>
        </w:tc>
      </w:tr>
      <w:tr w:rsidR="006D4312" w:rsidTr="00B42959">
        <w:tc>
          <w:tcPr>
            <w:tcW w:w="0" w:type="auto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Income from an approved/benefitted enterprise that has issued a waiver notice</w:t>
            </w:r>
            <w:r w:rsidRPr="000E0B3D">
              <w:rPr>
                <w:sz w:val="22"/>
                <w:szCs w:val="22"/>
                <w:vertAlign w:val="superscript"/>
              </w:rPr>
              <w:t>(7)</w:t>
            </w:r>
          </w:p>
        </w:tc>
        <w:tc>
          <w:tcPr>
            <w:tcW w:w="0" w:type="auto"/>
          </w:tcPr>
          <w:p w:rsidR="00EB590A" w:rsidRDefault="00E0243F" w:rsidP="00EB590A">
            <w:pPr>
              <w:rPr>
                <w:sz w:val="22"/>
                <w:szCs w:val="22"/>
              </w:rPr>
            </w:pPr>
          </w:p>
          <w:p w:rsidR="00EB590A" w:rsidRDefault="00E0243F" w:rsidP="00EB590A">
            <w:pPr>
              <w:rPr>
                <w:sz w:val="22"/>
                <w:szCs w:val="22"/>
              </w:rPr>
            </w:pPr>
          </w:p>
          <w:p w:rsidR="00EB590A" w:rsidRDefault="005B6E2C" w:rsidP="00EB590A">
            <w:r w:rsidRPr="003F342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15%</w:t>
            </w:r>
          </w:p>
        </w:tc>
        <w:tc>
          <w:tcPr>
            <w:tcW w:w="0" w:type="auto"/>
            <w:vAlign w:val="bottom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0%</w:t>
            </w:r>
          </w:p>
        </w:tc>
        <w:tc>
          <w:tcPr>
            <w:tcW w:w="0" w:type="auto"/>
            <w:vAlign w:val="bottom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15%</w:t>
            </w:r>
          </w:p>
        </w:tc>
      </w:tr>
      <w:tr w:rsidR="006D4312" w:rsidTr="00B42959">
        <w:tc>
          <w:tcPr>
            <w:tcW w:w="0" w:type="auto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Distribution classified as capital gains</w:t>
            </w:r>
          </w:p>
        </w:tc>
        <w:tc>
          <w:tcPr>
            <w:tcW w:w="0" w:type="auto"/>
          </w:tcPr>
          <w:p w:rsidR="00EB590A" w:rsidRDefault="005B6E2C" w:rsidP="00EB590A">
            <w:r w:rsidRPr="003F342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25%</w:t>
            </w:r>
          </w:p>
        </w:tc>
        <w:tc>
          <w:tcPr>
            <w:tcW w:w="0" w:type="auto"/>
            <w:vAlign w:val="bottom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0E0B3D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bottom"/>
          </w:tcPr>
          <w:p w:rsidR="00EB590A" w:rsidRPr="000E0B3D" w:rsidRDefault="005B6E2C" w:rsidP="00EB590A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0%</w:t>
            </w:r>
          </w:p>
        </w:tc>
      </w:tr>
      <w:tr w:rsidR="006D4312" w:rsidTr="00AE40A3">
        <w:tc>
          <w:tcPr>
            <w:tcW w:w="0" w:type="auto"/>
          </w:tcPr>
          <w:p w:rsidR="002D1A19" w:rsidRPr="000E0B3D" w:rsidRDefault="005B6E2C" w:rsidP="002D1A19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 xml:space="preserve">Distribution </w:t>
            </w:r>
            <w:r w:rsidRPr="00E07018">
              <w:rPr>
                <w:sz w:val="22"/>
                <w:szCs w:val="22"/>
              </w:rPr>
              <w:t>by</w:t>
            </w:r>
            <w:r w:rsidRPr="000E0B3D">
              <w:rPr>
                <w:sz w:val="22"/>
                <w:szCs w:val="22"/>
              </w:rPr>
              <w:t xml:space="preserve"> an </w:t>
            </w:r>
            <w:r w:rsidRPr="00E07018">
              <w:rPr>
                <w:sz w:val="22"/>
                <w:szCs w:val="22"/>
              </w:rPr>
              <w:t>index</w:t>
            </w:r>
            <w:r w:rsidRPr="000E0B3D">
              <w:rPr>
                <w:sz w:val="22"/>
                <w:szCs w:val="22"/>
              </w:rPr>
              <w:t xml:space="preserve"> participation unit</w:t>
            </w:r>
          </w:p>
        </w:tc>
        <w:tc>
          <w:tcPr>
            <w:tcW w:w="0" w:type="auto"/>
            <w:vAlign w:val="bottom"/>
          </w:tcPr>
          <w:p w:rsidR="002D1A19" w:rsidRPr="000E0B3D" w:rsidRDefault="005B6E2C" w:rsidP="002D1A19">
            <w:pPr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2D1A19" w:rsidRPr="000E0B3D" w:rsidRDefault="005B6E2C" w:rsidP="002D1A19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2D1A19" w:rsidRPr="000E0B3D" w:rsidRDefault="005B6E2C" w:rsidP="002D1A19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2D1A19" w:rsidRPr="000E0B3D" w:rsidRDefault="005B6E2C" w:rsidP="002D1A19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0</w:t>
            </w:r>
          </w:p>
        </w:tc>
      </w:tr>
      <w:tr w:rsidR="006D4312" w:rsidTr="00AE40A3">
        <w:tc>
          <w:tcPr>
            <w:tcW w:w="0" w:type="auto"/>
          </w:tcPr>
          <w:p w:rsidR="00E33A5B" w:rsidRPr="000E0B3D" w:rsidRDefault="005B6E2C" w:rsidP="00E33A5B">
            <w:pPr>
              <w:pStyle w:val="22"/>
              <w:jc w:val="left"/>
              <w:rPr>
                <w:sz w:val="20"/>
                <w:szCs w:val="20"/>
              </w:rPr>
            </w:pPr>
            <w:r w:rsidRPr="000E0B3D">
              <w:rPr>
                <w:sz w:val="22"/>
                <w:szCs w:val="22"/>
              </w:rPr>
              <w:t>Others</w:t>
            </w:r>
          </w:p>
        </w:tc>
        <w:tc>
          <w:tcPr>
            <w:tcW w:w="0" w:type="auto"/>
            <w:vAlign w:val="bottom"/>
          </w:tcPr>
          <w:p w:rsidR="00E33A5B" w:rsidRPr="000E0B3D" w:rsidRDefault="005B6E2C" w:rsidP="00E33A5B">
            <w:pPr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E33A5B" w:rsidRPr="000E0B3D" w:rsidRDefault="005B6E2C" w:rsidP="00E33A5B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bottom"/>
          </w:tcPr>
          <w:p w:rsidR="00E33A5B" w:rsidRPr="000E0B3D" w:rsidRDefault="005B6E2C" w:rsidP="00E33A5B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bottom"/>
          </w:tcPr>
          <w:p w:rsidR="00E33A5B" w:rsidRPr="000E0B3D" w:rsidRDefault="005B6E2C" w:rsidP="00E33A5B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</w:tr>
    </w:tbl>
    <w:p w:rsidR="00201FA9" w:rsidRPr="000E0B3D" w:rsidRDefault="00E0243F" w:rsidP="00201FA9">
      <w:pPr>
        <w:pStyle w:val="22"/>
        <w:ind w:left="720"/>
        <w:jc w:val="both"/>
      </w:pPr>
    </w:p>
    <w:p w:rsidR="005E4CA3" w:rsidRPr="000E0B3D" w:rsidRDefault="005B6E2C" w:rsidP="00AE40A3">
      <w:pPr>
        <w:pStyle w:val="22"/>
        <w:ind w:left="1080" w:hanging="360"/>
        <w:jc w:val="both"/>
      </w:pPr>
      <w:r w:rsidRPr="000E0B3D">
        <w:t xml:space="preserve">Explanation: </w:t>
      </w:r>
    </w:p>
    <w:p w:rsidR="005E4CA3" w:rsidRPr="000E0B3D" w:rsidRDefault="005B6E2C" w:rsidP="00AE40A3">
      <w:pPr>
        <w:pStyle w:val="22"/>
        <w:ind w:left="1080"/>
        <w:jc w:val="both"/>
      </w:pPr>
      <w:r w:rsidRPr="000E0B3D">
        <w:t xml:space="preserve">(1)      Income subject to </w:t>
      </w:r>
      <w:proofErr w:type="gramStart"/>
      <w:r w:rsidRPr="000E0B3D">
        <w:t>companies</w:t>
      </w:r>
      <w:proofErr w:type="gramEnd"/>
      <w:r w:rsidRPr="000E0B3D">
        <w:t xml:space="preserve"> tax: income received from distribution of profits or from a dividend, the source of which is income produced or generated in Israel, received directly or indirectly from another group of persons owing companies tax. </w:t>
      </w:r>
    </w:p>
    <w:p w:rsidR="00AE40A3" w:rsidRPr="000E0B3D" w:rsidRDefault="005B6E2C" w:rsidP="00AE40A3">
      <w:pPr>
        <w:pStyle w:val="22"/>
        <w:ind w:left="1080"/>
        <w:jc w:val="both"/>
      </w:pPr>
      <w:r w:rsidRPr="000E0B3D">
        <w:lastRenderedPageBreak/>
        <w:t xml:space="preserve">(2)     Income from foreign sources is income produced or generated abroad that has not been taxed in Israel. </w:t>
      </w:r>
    </w:p>
    <w:p w:rsidR="00B425DF" w:rsidRPr="000E0B3D" w:rsidRDefault="005B6E2C" w:rsidP="00AE40A3">
      <w:pPr>
        <w:pStyle w:val="22"/>
        <w:ind w:left="1080"/>
        <w:jc w:val="both"/>
      </w:pPr>
      <w:r w:rsidRPr="000E0B3D">
        <w:t xml:space="preserve">(3) Including income from a beneficiary tourism enterprise whose year of </w:t>
      </w:r>
      <w:r w:rsidRPr="00E07018">
        <w:t>election</w:t>
      </w:r>
      <w:r w:rsidRPr="000E0B3D">
        <w:t>/</w:t>
      </w:r>
      <w:r w:rsidRPr="00E07018">
        <w:t>commencement of</w:t>
      </w:r>
      <w:r w:rsidRPr="000E0B3D">
        <w:t xml:space="preserve"> operations was any year through </w:t>
      </w:r>
      <w:proofErr w:type="gramStart"/>
      <w:r w:rsidRPr="000E0B3D">
        <w:t>2013.</w:t>
      </w:r>
      <w:proofErr w:type="gramEnd"/>
    </w:p>
    <w:p w:rsidR="002F0025" w:rsidRPr="000E0B3D" w:rsidRDefault="005B6E2C" w:rsidP="00AE40A3">
      <w:pPr>
        <w:pStyle w:val="22"/>
        <w:ind w:left="1080"/>
        <w:jc w:val="both"/>
      </w:pPr>
      <w:r w:rsidRPr="000E0B3D">
        <w:t xml:space="preserve">(4)  </w:t>
      </w:r>
      <w:r w:rsidRPr="00E07018">
        <w:t>Income from</w:t>
      </w:r>
      <w:r w:rsidRPr="000E0B3D">
        <w:t xml:space="preserve"> an Approved Ireland Enterprise whose year of election was any year through 2013.</w:t>
      </w:r>
    </w:p>
    <w:p w:rsidR="002F0025" w:rsidRPr="000E0B3D" w:rsidRDefault="005B6E2C" w:rsidP="00AE40A3">
      <w:pPr>
        <w:pStyle w:val="22"/>
        <w:ind w:left="1080"/>
        <w:jc w:val="both"/>
      </w:pPr>
      <w:r w:rsidRPr="000E0B3D">
        <w:t xml:space="preserve">(5)   </w:t>
      </w:r>
      <w:r w:rsidRPr="00E07018">
        <w:t>Income from</w:t>
      </w:r>
      <w:r w:rsidRPr="000E0B3D">
        <w:t xml:space="preserve"> an Approved Ireland Enterprise whose year of election was any year from 2014 and onward.</w:t>
      </w:r>
    </w:p>
    <w:p w:rsidR="002F0025" w:rsidRPr="000E0B3D" w:rsidRDefault="005B6E2C" w:rsidP="00AE40A3">
      <w:pPr>
        <w:pStyle w:val="22"/>
        <w:ind w:left="1080"/>
        <w:jc w:val="both"/>
      </w:pPr>
      <w:r w:rsidRPr="000E0B3D">
        <w:t xml:space="preserve">(6)  Includes income from a benefitted tourism enterprise whose year of </w:t>
      </w:r>
      <w:r w:rsidRPr="00E07018">
        <w:t>election</w:t>
      </w:r>
      <w:r w:rsidRPr="000E0B3D">
        <w:t>/</w:t>
      </w:r>
      <w:r w:rsidRPr="00E07018">
        <w:t>commencement of</w:t>
      </w:r>
      <w:r w:rsidRPr="000E0B3D">
        <w:t xml:space="preserve"> operations was any year from 2014 and onward.</w:t>
      </w:r>
    </w:p>
    <w:p w:rsidR="00921242" w:rsidRDefault="005B6E2C" w:rsidP="00921242">
      <w:pPr>
        <w:pStyle w:val="22"/>
        <w:ind w:left="1080"/>
        <w:jc w:val="both"/>
      </w:pPr>
      <w:r w:rsidRPr="000E0B3D">
        <w:t>(7) Income from an approved or benefitted enterprise that issued a waiver notice at any time through 30 June 2015, after the deduction of company tax which it owed.</w:t>
      </w:r>
      <w:r>
        <w:t xml:space="preserve"> </w:t>
      </w:r>
    </w:p>
    <w:p w:rsidR="00921242" w:rsidRDefault="00E0243F" w:rsidP="00921242">
      <w:pPr>
        <w:pStyle w:val="22"/>
        <w:ind w:left="1080"/>
        <w:jc w:val="both"/>
      </w:pPr>
    </w:p>
    <w:p w:rsidR="00921242" w:rsidRDefault="00E0243F" w:rsidP="00921242">
      <w:pPr>
        <w:pStyle w:val="22"/>
        <w:ind w:left="1080"/>
        <w:jc w:val="both"/>
      </w:pPr>
    </w:p>
    <w:p w:rsidR="004C6CFF" w:rsidRPr="000E0B3D" w:rsidRDefault="005B6E2C" w:rsidP="00921242">
      <w:pPr>
        <w:pStyle w:val="22"/>
        <w:ind w:left="1080"/>
        <w:jc w:val="both"/>
        <w:rPr>
          <w:lang w:val="en-GB"/>
        </w:rPr>
      </w:pPr>
      <w:r w:rsidRPr="000E0B3D">
        <w:t>7b</w:t>
      </w:r>
      <w:proofErr w:type="gramStart"/>
      <w:r w:rsidRPr="000E0B3D">
        <w:t>.  Dividend</w:t>
      </w:r>
      <w:proofErr w:type="gramEnd"/>
      <w:r w:rsidRPr="000E0B3D">
        <w:t xml:space="preserve"> </w:t>
      </w:r>
      <w:r w:rsidRPr="00E07018">
        <w:t>distributed by</w:t>
      </w:r>
      <w:r w:rsidRPr="000E0B3D">
        <w:t xml:space="preserve"> a </w:t>
      </w:r>
      <w:r w:rsidRPr="00E07018">
        <w:t>foreign resident company</w:t>
      </w:r>
      <w:r w:rsidRPr="000E0B3D">
        <w:t xml:space="preserve"> </w:t>
      </w:r>
    </w:p>
    <w:p w:rsidR="00DB643C" w:rsidRPr="000E0B3D" w:rsidRDefault="00E0243F" w:rsidP="00DB643C">
      <w:pPr>
        <w:pStyle w:val="22"/>
        <w:jc w:val="both"/>
        <w:rPr>
          <w:lang w:val="en-GB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3937"/>
        <w:gridCol w:w="1206"/>
        <w:gridCol w:w="1206"/>
        <w:gridCol w:w="1738"/>
      </w:tblGrid>
      <w:tr w:rsidR="006D4312" w:rsidTr="00DB6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3C" w:rsidRPr="000E0B3D" w:rsidRDefault="00E0243F">
            <w:pPr>
              <w:pStyle w:val="22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3C" w:rsidRPr="000E0B3D" w:rsidRDefault="005B6E2C">
            <w:pPr>
              <w:pStyle w:val="22"/>
              <w:jc w:val="both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Individuals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3C" w:rsidRPr="000E0B3D" w:rsidRDefault="005B6E2C">
            <w:pPr>
              <w:pStyle w:val="22"/>
              <w:jc w:val="both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 xml:space="preserve">Companies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3C" w:rsidRPr="000E0B3D" w:rsidRDefault="005B6E2C">
            <w:pPr>
              <w:pStyle w:val="22"/>
              <w:jc w:val="both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Foreign residents</w:t>
            </w:r>
          </w:p>
        </w:tc>
      </w:tr>
      <w:tr w:rsidR="006D4312" w:rsidTr="00DB643C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3C" w:rsidRPr="000E0B3D" w:rsidRDefault="005B6E2C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 xml:space="preserve">Dividend distributed by a </w:t>
            </w:r>
            <w:r w:rsidRPr="00E07018">
              <w:rPr>
                <w:sz w:val="22"/>
                <w:szCs w:val="22"/>
              </w:rPr>
              <w:t>foreign resident company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43C" w:rsidRPr="000E0B3D" w:rsidRDefault="005B6E2C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43C" w:rsidRPr="000E0B3D" w:rsidRDefault="005B6E2C">
            <w:pPr>
              <w:pStyle w:val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0E0B3D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43C" w:rsidRPr="000E0B3D" w:rsidRDefault="005B6E2C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0%</w:t>
            </w:r>
          </w:p>
        </w:tc>
      </w:tr>
    </w:tbl>
    <w:p w:rsidR="00DB643C" w:rsidRPr="000E0B3D" w:rsidRDefault="00E0243F" w:rsidP="00DB643C">
      <w:pPr>
        <w:pStyle w:val="22"/>
        <w:jc w:val="both"/>
      </w:pPr>
    </w:p>
    <w:p w:rsidR="004C6CFF" w:rsidRPr="000E0B3D" w:rsidRDefault="005B6E2C" w:rsidP="00992DAB">
      <w:pPr>
        <w:pStyle w:val="22"/>
        <w:ind w:left="720"/>
        <w:jc w:val="both"/>
      </w:pPr>
      <w:r w:rsidRPr="000E0B3D">
        <w:t xml:space="preserve">7c. Dividend </w:t>
      </w:r>
      <w:r w:rsidRPr="00E07018">
        <w:t>distributed by</w:t>
      </w:r>
      <w:r w:rsidRPr="000E0B3D">
        <w:t xml:space="preserve"> a Real Estate Investment Trust</w:t>
      </w:r>
    </w:p>
    <w:p w:rsidR="00DB643C" w:rsidRPr="000E0B3D" w:rsidRDefault="00E0243F" w:rsidP="004C6CFF">
      <w:pPr>
        <w:pStyle w:val="22"/>
        <w:jc w:val="both"/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1879"/>
        <w:gridCol w:w="986"/>
        <w:gridCol w:w="1206"/>
        <w:gridCol w:w="1206"/>
        <w:gridCol w:w="1157"/>
        <w:gridCol w:w="986"/>
        <w:gridCol w:w="1072"/>
      </w:tblGrid>
      <w:tr w:rsidR="006D4312" w:rsidTr="00DB643C">
        <w:tc>
          <w:tcPr>
            <w:tcW w:w="1879" w:type="dxa"/>
          </w:tcPr>
          <w:p w:rsidR="00DB643C" w:rsidRPr="000E0B3D" w:rsidRDefault="00E0243F" w:rsidP="00A5798E">
            <w:pPr>
              <w:pStyle w:val="22"/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B643C" w:rsidRPr="000E0B3D" w:rsidRDefault="005B6E2C" w:rsidP="00A5798E">
            <w:pPr>
              <w:pStyle w:val="22"/>
              <w:jc w:val="both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% of the dividend</w:t>
            </w:r>
          </w:p>
        </w:tc>
        <w:tc>
          <w:tcPr>
            <w:tcW w:w="1206" w:type="dxa"/>
          </w:tcPr>
          <w:p w:rsidR="00DB643C" w:rsidRPr="000E0B3D" w:rsidRDefault="005B6E2C" w:rsidP="00A5798E">
            <w:pPr>
              <w:pStyle w:val="22"/>
              <w:jc w:val="both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 xml:space="preserve">Individuals </w:t>
            </w:r>
            <w:r w:rsidRPr="000E0B3D">
              <w:rPr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06" w:type="dxa"/>
          </w:tcPr>
          <w:p w:rsidR="00DB643C" w:rsidRPr="000E0B3D" w:rsidRDefault="005B6E2C" w:rsidP="00A5798E">
            <w:pPr>
              <w:pStyle w:val="22"/>
              <w:jc w:val="both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 xml:space="preserve">Companies </w:t>
            </w:r>
          </w:p>
        </w:tc>
        <w:tc>
          <w:tcPr>
            <w:tcW w:w="999" w:type="dxa"/>
          </w:tcPr>
          <w:p w:rsidR="00DB643C" w:rsidRPr="000E0B3D" w:rsidRDefault="005B6E2C" w:rsidP="00A5798E">
            <w:pPr>
              <w:pStyle w:val="22"/>
              <w:jc w:val="both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Foreign resident</w:t>
            </w:r>
            <w:r>
              <w:rPr>
                <w:sz w:val="22"/>
                <w:szCs w:val="22"/>
              </w:rPr>
              <w:t xml:space="preserve"> companies</w:t>
            </w:r>
          </w:p>
        </w:tc>
        <w:tc>
          <w:tcPr>
            <w:tcW w:w="986" w:type="dxa"/>
          </w:tcPr>
          <w:p w:rsidR="00DB643C" w:rsidRPr="000E0B3D" w:rsidRDefault="005B6E2C" w:rsidP="00A5798E">
            <w:pPr>
              <w:pStyle w:val="22"/>
              <w:jc w:val="both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Exempt mutual fund</w:t>
            </w:r>
          </w:p>
        </w:tc>
        <w:tc>
          <w:tcPr>
            <w:tcW w:w="1072" w:type="dxa"/>
          </w:tcPr>
          <w:p w:rsidR="00DB643C" w:rsidRPr="000E0B3D" w:rsidRDefault="005B6E2C" w:rsidP="00A5798E">
            <w:pPr>
              <w:pStyle w:val="22"/>
              <w:jc w:val="both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 xml:space="preserve">Provident fund </w:t>
            </w:r>
            <w:r w:rsidRPr="000E0B3D">
              <w:rPr>
                <w:sz w:val="22"/>
                <w:szCs w:val="22"/>
                <w:vertAlign w:val="superscript"/>
              </w:rPr>
              <w:t>(2)</w:t>
            </w:r>
          </w:p>
        </w:tc>
      </w:tr>
      <w:tr w:rsidR="006D4312" w:rsidTr="009062E5">
        <w:tc>
          <w:tcPr>
            <w:tcW w:w="1879" w:type="dxa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 xml:space="preserve">From real property appreciation, capital gains and depreciation </w:t>
            </w:r>
            <w:r w:rsidRPr="000E0B3D">
              <w:rPr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986" w:type="dxa"/>
            <w:vAlign w:val="center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______</w:t>
            </w:r>
          </w:p>
        </w:tc>
        <w:tc>
          <w:tcPr>
            <w:tcW w:w="1206" w:type="dxa"/>
            <w:vAlign w:val="bottom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25%</w:t>
            </w:r>
          </w:p>
        </w:tc>
        <w:tc>
          <w:tcPr>
            <w:tcW w:w="1206" w:type="dxa"/>
            <w:vAlign w:val="bottom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0E0B3D">
              <w:rPr>
                <w:sz w:val="22"/>
                <w:szCs w:val="22"/>
              </w:rPr>
              <w:t>%</w:t>
            </w:r>
          </w:p>
        </w:tc>
        <w:tc>
          <w:tcPr>
            <w:tcW w:w="999" w:type="dxa"/>
            <w:vAlign w:val="bottom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0E0B3D">
              <w:rPr>
                <w:sz w:val="22"/>
                <w:szCs w:val="22"/>
              </w:rPr>
              <w:t>%</w:t>
            </w:r>
          </w:p>
        </w:tc>
        <w:tc>
          <w:tcPr>
            <w:tcW w:w="986" w:type="dxa"/>
            <w:vAlign w:val="bottom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0%</w:t>
            </w:r>
          </w:p>
        </w:tc>
        <w:tc>
          <w:tcPr>
            <w:tcW w:w="1072" w:type="dxa"/>
            <w:vAlign w:val="bottom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0%</w:t>
            </w:r>
          </w:p>
        </w:tc>
      </w:tr>
      <w:tr w:rsidR="006D4312" w:rsidTr="00537100">
        <w:tc>
          <w:tcPr>
            <w:tcW w:w="1879" w:type="dxa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Other taxable income (such as rental income)</w:t>
            </w:r>
          </w:p>
        </w:tc>
        <w:tc>
          <w:tcPr>
            <w:tcW w:w="986" w:type="dxa"/>
            <w:vAlign w:val="center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______</w:t>
            </w:r>
          </w:p>
        </w:tc>
        <w:tc>
          <w:tcPr>
            <w:tcW w:w="1206" w:type="dxa"/>
            <w:vAlign w:val="bottom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47%</w:t>
            </w:r>
          </w:p>
        </w:tc>
        <w:tc>
          <w:tcPr>
            <w:tcW w:w="1206" w:type="dxa"/>
            <w:vAlign w:val="bottom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0E0B3D">
              <w:rPr>
                <w:sz w:val="22"/>
                <w:szCs w:val="22"/>
              </w:rPr>
              <w:t>%</w:t>
            </w:r>
          </w:p>
        </w:tc>
        <w:tc>
          <w:tcPr>
            <w:tcW w:w="999" w:type="dxa"/>
            <w:vAlign w:val="bottom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0E0B3D">
              <w:rPr>
                <w:sz w:val="22"/>
                <w:szCs w:val="22"/>
              </w:rPr>
              <w:t>%</w:t>
            </w:r>
          </w:p>
        </w:tc>
        <w:tc>
          <w:tcPr>
            <w:tcW w:w="986" w:type="dxa"/>
            <w:vAlign w:val="bottom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0E0B3D">
              <w:rPr>
                <w:sz w:val="22"/>
                <w:szCs w:val="22"/>
              </w:rPr>
              <w:t>%</w:t>
            </w:r>
          </w:p>
        </w:tc>
        <w:tc>
          <w:tcPr>
            <w:tcW w:w="1072" w:type="dxa"/>
            <w:vAlign w:val="bottom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0%</w:t>
            </w:r>
          </w:p>
        </w:tc>
      </w:tr>
      <w:tr w:rsidR="006D4312" w:rsidTr="00A0784F">
        <w:tc>
          <w:tcPr>
            <w:tcW w:w="1879" w:type="dxa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From productive real estate – residential rentals</w:t>
            </w:r>
          </w:p>
        </w:tc>
        <w:tc>
          <w:tcPr>
            <w:tcW w:w="986" w:type="dxa"/>
            <w:vAlign w:val="center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______</w:t>
            </w:r>
          </w:p>
        </w:tc>
        <w:tc>
          <w:tcPr>
            <w:tcW w:w="1206" w:type="dxa"/>
            <w:vAlign w:val="bottom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20%</w:t>
            </w:r>
          </w:p>
        </w:tc>
        <w:tc>
          <w:tcPr>
            <w:tcW w:w="1206" w:type="dxa"/>
            <w:vAlign w:val="bottom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20%</w:t>
            </w:r>
          </w:p>
        </w:tc>
        <w:tc>
          <w:tcPr>
            <w:tcW w:w="999" w:type="dxa"/>
            <w:vAlign w:val="bottom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20%</w:t>
            </w:r>
          </w:p>
        </w:tc>
        <w:tc>
          <w:tcPr>
            <w:tcW w:w="986" w:type="dxa"/>
            <w:vAlign w:val="bottom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0%</w:t>
            </w:r>
          </w:p>
        </w:tc>
        <w:tc>
          <w:tcPr>
            <w:tcW w:w="1072" w:type="dxa"/>
            <w:vAlign w:val="bottom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0%</w:t>
            </w:r>
          </w:p>
        </w:tc>
      </w:tr>
      <w:tr w:rsidR="006D4312" w:rsidTr="00710148">
        <w:tc>
          <w:tcPr>
            <w:tcW w:w="1879" w:type="dxa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 xml:space="preserve">Income </w:t>
            </w:r>
            <w:r w:rsidRPr="00E07018">
              <w:rPr>
                <w:sz w:val="22"/>
                <w:szCs w:val="22"/>
              </w:rPr>
              <w:t>that has been taxed</w:t>
            </w:r>
            <w:r w:rsidRPr="000E0B3D">
              <w:rPr>
                <w:sz w:val="22"/>
                <w:szCs w:val="22"/>
              </w:rPr>
              <w:t xml:space="preserve"> </w:t>
            </w:r>
            <w:r w:rsidRPr="00E07018">
              <w:rPr>
                <w:sz w:val="22"/>
                <w:szCs w:val="22"/>
              </w:rPr>
              <w:t>at the fund level</w:t>
            </w:r>
            <w:r w:rsidRPr="000E0B3D">
              <w:rPr>
                <w:sz w:val="22"/>
                <w:szCs w:val="22"/>
              </w:rPr>
              <w:t xml:space="preserve"> </w:t>
            </w:r>
            <w:r w:rsidRPr="000E0B3D">
              <w:rPr>
                <w:sz w:val="22"/>
                <w:szCs w:val="22"/>
                <w:vertAlign w:val="superscript"/>
              </w:rPr>
              <w:t>(4)</w:t>
            </w:r>
          </w:p>
        </w:tc>
        <w:tc>
          <w:tcPr>
            <w:tcW w:w="986" w:type="dxa"/>
            <w:vAlign w:val="center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______</w:t>
            </w:r>
          </w:p>
        </w:tc>
        <w:tc>
          <w:tcPr>
            <w:tcW w:w="1206" w:type="dxa"/>
            <w:vAlign w:val="bottom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25%</w:t>
            </w:r>
          </w:p>
        </w:tc>
        <w:tc>
          <w:tcPr>
            <w:tcW w:w="1206" w:type="dxa"/>
            <w:vAlign w:val="bottom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0%</w:t>
            </w:r>
          </w:p>
        </w:tc>
        <w:tc>
          <w:tcPr>
            <w:tcW w:w="999" w:type="dxa"/>
            <w:vAlign w:val="bottom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25%</w:t>
            </w:r>
          </w:p>
        </w:tc>
        <w:tc>
          <w:tcPr>
            <w:tcW w:w="986" w:type="dxa"/>
            <w:vAlign w:val="bottom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0%</w:t>
            </w:r>
          </w:p>
        </w:tc>
        <w:tc>
          <w:tcPr>
            <w:tcW w:w="1072" w:type="dxa"/>
            <w:vAlign w:val="bottom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0%</w:t>
            </w:r>
          </w:p>
        </w:tc>
      </w:tr>
      <w:tr w:rsidR="006D4312" w:rsidTr="009062E5">
        <w:tc>
          <w:tcPr>
            <w:tcW w:w="1879" w:type="dxa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Exceptional income</w:t>
            </w:r>
          </w:p>
        </w:tc>
        <w:tc>
          <w:tcPr>
            <w:tcW w:w="986" w:type="dxa"/>
            <w:vAlign w:val="center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______</w:t>
            </w:r>
          </w:p>
        </w:tc>
        <w:tc>
          <w:tcPr>
            <w:tcW w:w="1206" w:type="dxa"/>
            <w:vAlign w:val="bottom"/>
          </w:tcPr>
          <w:p w:rsidR="009062E5" w:rsidRPr="000E0B3D" w:rsidRDefault="005B6E2C" w:rsidP="009062E5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70%</w:t>
            </w:r>
          </w:p>
        </w:tc>
        <w:tc>
          <w:tcPr>
            <w:tcW w:w="1206" w:type="dxa"/>
            <w:vAlign w:val="bottom"/>
          </w:tcPr>
          <w:p w:rsidR="009062E5" w:rsidRPr="000E0B3D" w:rsidRDefault="005B6E2C" w:rsidP="009062E5">
            <w:r w:rsidRPr="000E0B3D">
              <w:rPr>
                <w:sz w:val="22"/>
                <w:szCs w:val="22"/>
              </w:rPr>
              <w:t>70%</w:t>
            </w:r>
          </w:p>
        </w:tc>
        <w:tc>
          <w:tcPr>
            <w:tcW w:w="999" w:type="dxa"/>
            <w:vAlign w:val="bottom"/>
          </w:tcPr>
          <w:p w:rsidR="009062E5" w:rsidRPr="000E0B3D" w:rsidRDefault="005B6E2C" w:rsidP="009062E5">
            <w:r w:rsidRPr="000E0B3D">
              <w:rPr>
                <w:sz w:val="22"/>
                <w:szCs w:val="22"/>
              </w:rPr>
              <w:t>70%</w:t>
            </w:r>
          </w:p>
        </w:tc>
        <w:tc>
          <w:tcPr>
            <w:tcW w:w="986" w:type="dxa"/>
            <w:vAlign w:val="bottom"/>
          </w:tcPr>
          <w:p w:rsidR="009062E5" w:rsidRPr="000E0B3D" w:rsidRDefault="005B6E2C" w:rsidP="009062E5">
            <w:r w:rsidRPr="000E0B3D">
              <w:rPr>
                <w:sz w:val="22"/>
                <w:szCs w:val="22"/>
              </w:rPr>
              <w:t>60%</w:t>
            </w:r>
          </w:p>
        </w:tc>
        <w:tc>
          <w:tcPr>
            <w:tcW w:w="1072" w:type="dxa"/>
            <w:vAlign w:val="bottom"/>
          </w:tcPr>
          <w:p w:rsidR="009062E5" w:rsidRPr="000E0B3D" w:rsidRDefault="005B6E2C" w:rsidP="009062E5">
            <w:r w:rsidRPr="000E0B3D">
              <w:rPr>
                <w:sz w:val="22"/>
                <w:szCs w:val="22"/>
              </w:rPr>
              <w:t>70%</w:t>
            </w:r>
          </w:p>
        </w:tc>
      </w:tr>
      <w:tr w:rsidR="006D4312" w:rsidTr="00684B74">
        <w:tc>
          <w:tcPr>
            <w:tcW w:w="1879" w:type="dxa"/>
          </w:tcPr>
          <w:p w:rsidR="00DB643C" w:rsidRPr="000E0B3D" w:rsidRDefault="005B6E2C" w:rsidP="00DB643C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Other</w:t>
            </w:r>
          </w:p>
        </w:tc>
        <w:tc>
          <w:tcPr>
            <w:tcW w:w="986" w:type="dxa"/>
            <w:vAlign w:val="bottom"/>
          </w:tcPr>
          <w:p w:rsidR="00DB643C" w:rsidRPr="000E0B3D" w:rsidRDefault="005B6E2C" w:rsidP="00DB643C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_______  _____</w:t>
            </w:r>
          </w:p>
        </w:tc>
        <w:tc>
          <w:tcPr>
            <w:tcW w:w="1206" w:type="dxa"/>
          </w:tcPr>
          <w:p w:rsidR="00DB643C" w:rsidRPr="000E0B3D" w:rsidRDefault="005B6E2C" w:rsidP="00DB643C">
            <w:r w:rsidRPr="000E0B3D">
              <w:rPr>
                <w:sz w:val="22"/>
                <w:szCs w:val="22"/>
              </w:rPr>
              <w:t>_______</w:t>
            </w:r>
          </w:p>
        </w:tc>
        <w:tc>
          <w:tcPr>
            <w:tcW w:w="1206" w:type="dxa"/>
          </w:tcPr>
          <w:p w:rsidR="00DB643C" w:rsidRPr="000E0B3D" w:rsidRDefault="005B6E2C" w:rsidP="00DB643C">
            <w:r w:rsidRPr="000E0B3D">
              <w:rPr>
                <w:sz w:val="22"/>
                <w:szCs w:val="22"/>
              </w:rPr>
              <w:t>_______</w:t>
            </w:r>
          </w:p>
        </w:tc>
        <w:tc>
          <w:tcPr>
            <w:tcW w:w="999" w:type="dxa"/>
          </w:tcPr>
          <w:p w:rsidR="00DB643C" w:rsidRPr="000E0B3D" w:rsidRDefault="005B6E2C" w:rsidP="00DB643C">
            <w:r w:rsidRPr="000E0B3D">
              <w:rPr>
                <w:sz w:val="22"/>
                <w:szCs w:val="22"/>
              </w:rPr>
              <w:t>_______</w:t>
            </w:r>
          </w:p>
        </w:tc>
        <w:tc>
          <w:tcPr>
            <w:tcW w:w="986" w:type="dxa"/>
          </w:tcPr>
          <w:p w:rsidR="00DB643C" w:rsidRPr="000E0B3D" w:rsidRDefault="005B6E2C" w:rsidP="00DB643C">
            <w:r w:rsidRPr="000E0B3D">
              <w:rPr>
                <w:sz w:val="22"/>
                <w:szCs w:val="22"/>
              </w:rPr>
              <w:t>_______</w:t>
            </w:r>
          </w:p>
        </w:tc>
        <w:tc>
          <w:tcPr>
            <w:tcW w:w="1072" w:type="dxa"/>
          </w:tcPr>
          <w:p w:rsidR="00DB643C" w:rsidRPr="000E0B3D" w:rsidRDefault="005B6E2C" w:rsidP="00DB643C">
            <w:r w:rsidRPr="000E0B3D">
              <w:rPr>
                <w:sz w:val="22"/>
                <w:szCs w:val="22"/>
              </w:rPr>
              <w:t>_______</w:t>
            </w:r>
          </w:p>
        </w:tc>
      </w:tr>
      <w:tr w:rsidR="006D4312" w:rsidTr="00DB643C">
        <w:tc>
          <w:tcPr>
            <w:tcW w:w="1879" w:type="dxa"/>
          </w:tcPr>
          <w:p w:rsidR="00DB643C" w:rsidRPr="00E07018" w:rsidRDefault="005B6E2C" w:rsidP="00DB643C">
            <w:pPr>
              <w:pStyle w:val="22"/>
              <w:jc w:val="left"/>
              <w:rPr>
                <w:sz w:val="22"/>
                <w:szCs w:val="22"/>
              </w:rPr>
            </w:pPr>
            <w:r w:rsidRPr="00E07018">
              <w:rPr>
                <w:sz w:val="22"/>
                <w:szCs w:val="22"/>
              </w:rPr>
              <w:t>Weighted % of tax withheld at source</w:t>
            </w:r>
          </w:p>
        </w:tc>
        <w:tc>
          <w:tcPr>
            <w:tcW w:w="986" w:type="dxa"/>
            <w:vAlign w:val="bottom"/>
          </w:tcPr>
          <w:p w:rsidR="00DB643C" w:rsidRPr="000E0B3D" w:rsidRDefault="005B6E2C" w:rsidP="00DB643C">
            <w:pPr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100%</w:t>
            </w:r>
          </w:p>
        </w:tc>
        <w:tc>
          <w:tcPr>
            <w:tcW w:w="1206" w:type="dxa"/>
            <w:vAlign w:val="bottom"/>
          </w:tcPr>
          <w:p w:rsidR="00DB643C" w:rsidRPr="000E0B3D" w:rsidRDefault="005B6E2C" w:rsidP="00DB643C">
            <w:pPr>
              <w:pStyle w:val="22"/>
              <w:jc w:val="left"/>
              <w:rPr>
                <w:sz w:val="22"/>
                <w:szCs w:val="22"/>
              </w:rPr>
            </w:pPr>
            <w:r w:rsidRPr="000E0B3D">
              <w:rPr>
                <w:sz w:val="22"/>
                <w:szCs w:val="22"/>
              </w:rPr>
              <w:t>_______</w:t>
            </w:r>
          </w:p>
        </w:tc>
        <w:tc>
          <w:tcPr>
            <w:tcW w:w="1206" w:type="dxa"/>
          </w:tcPr>
          <w:p w:rsidR="00DB643C" w:rsidRPr="000E0B3D" w:rsidRDefault="005B6E2C" w:rsidP="00DB643C">
            <w:r w:rsidRPr="000E0B3D">
              <w:rPr>
                <w:sz w:val="22"/>
                <w:szCs w:val="22"/>
              </w:rPr>
              <w:t>_______</w:t>
            </w:r>
          </w:p>
        </w:tc>
        <w:tc>
          <w:tcPr>
            <w:tcW w:w="999" w:type="dxa"/>
          </w:tcPr>
          <w:p w:rsidR="00DB643C" w:rsidRPr="000E0B3D" w:rsidRDefault="005B6E2C" w:rsidP="00DB643C">
            <w:r w:rsidRPr="000E0B3D">
              <w:rPr>
                <w:sz w:val="22"/>
                <w:szCs w:val="22"/>
              </w:rPr>
              <w:t>_______</w:t>
            </w:r>
          </w:p>
        </w:tc>
        <w:tc>
          <w:tcPr>
            <w:tcW w:w="986" w:type="dxa"/>
          </w:tcPr>
          <w:p w:rsidR="00DB643C" w:rsidRPr="000E0B3D" w:rsidRDefault="005B6E2C" w:rsidP="00DB643C">
            <w:r w:rsidRPr="000E0B3D">
              <w:rPr>
                <w:sz w:val="22"/>
                <w:szCs w:val="22"/>
              </w:rPr>
              <w:t>_______</w:t>
            </w:r>
          </w:p>
        </w:tc>
        <w:tc>
          <w:tcPr>
            <w:tcW w:w="1072" w:type="dxa"/>
          </w:tcPr>
          <w:p w:rsidR="00DB643C" w:rsidRPr="000E0B3D" w:rsidRDefault="005B6E2C" w:rsidP="00DB643C">
            <w:r w:rsidRPr="000E0B3D">
              <w:rPr>
                <w:sz w:val="22"/>
                <w:szCs w:val="22"/>
              </w:rPr>
              <w:t>_______</w:t>
            </w:r>
          </w:p>
        </w:tc>
      </w:tr>
    </w:tbl>
    <w:p w:rsidR="00DB643C" w:rsidRPr="000E0B3D" w:rsidRDefault="00E0243F" w:rsidP="004C6CFF">
      <w:pPr>
        <w:pStyle w:val="22"/>
        <w:jc w:val="both"/>
      </w:pPr>
    </w:p>
    <w:p w:rsidR="009062E5" w:rsidRPr="000E0B3D" w:rsidRDefault="005B6E2C" w:rsidP="005B6E2C">
      <w:pPr>
        <w:pStyle w:val="22"/>
        <w:numPr>
          <w:ilvl w:val="0"/>
          <w:numId w:val="2"/>
        </w:numPr>
        <w:jc w:val="both"/>
      </w:pPr>
      <w:r w:rsidRPr="00E07018">
        <w:t>Individuals - includes a</w:t>
      </w:r>
      <w:r w:rsidRPr="000E0B3D">
        <w:t xml:space="preserve"> taxable mutual fund, individuals, and foreign residents.</w:t>
      </w:r>
    </w:p>
    <w:p w:rsidR="009062E5" w:rsidRPr="000E0B3D" w:rsidRDefault="005B6E2C" w:rsidP="005B6E2C">
      <w:pPr>
        <w:pStyle w:val="22"/>
        <w:numPr>
          <w:ilvl w:val="0"/>
          <w:numId w:val="2"/>
        </w:numPr>
        <w:jc w:val="both"/>
      </w:pPr>
      <w:r w:rsidRPr="000E0B3D">
        <w:lastRenderedPageBreak/>
        <w:t xml:space="preserve">Provident funds – either for pensions or benefits or severance pay, as defined in the Income Tax Ordinance, and foreign provident funds or pension funds which are residents of a </w:t>
      </w:r>
      <w:r w:rsidRPr="000E0B3D">
        <w:rPr>
          <w:lang w:val="en-GB"/>
        </w:rPr>
        <w:t>reciprocating country.</w:t>
      </w:r>
    </w:p>
    <w:p w:rsidR="009062E5" w:rsidRPr="000E0B3D" w:rsidRDefault="005B6E2C" w:rsidP="005B6E2C">
      <w:pPr>
        <w:pStyle w:val="22"/>
        <w:numPr>
          <w:ilvl w:val="0"/>
          <w:numId w:val="2"/>
        </w:numPr>
        <w:jc w:val="both"/>
      </w:pPr>
      <w:r w:rsidRPr="000E0B3D">
        <w:t xml:space="preserve">From appreciation of real property or from capital gains, excluding income from the sale of real estate held for the short term, and </w:t>
      </w:r>
      <w:r w:rsidRPr="00E07018">
        <w:t>from</w:t>
      </w:r>
      <w:r w:rsidRPr="000E0B3D">
        <w:t xml:space="preserve"> </w:t>
      </w:r>
      <w:r w:rsidRPr="00E07018">
        <w:t>income in the amount</w:t>
      </w:r>
      <w:r w:rsidRPr="000E0B3D">
        <w:t xml:space="preserve"> of the depreciation expenses.</w:t>
      </w:r>
    </w:p>
    <w:p w:rsidR="009062E5" w:rsidRPr="000E0B3D" w:rsidRDefault="005B6E2C" w:rsidP="005B6E2C">
      <w:pPr>
        <w:pStyle w:val="22"/>
        <w:numPr>
          <w:ilvl w:val="0"/>
          <w:numId w:val="2"/>
        </w:numPr>
        <w:jc w:val="both"/>
      </w:pPr>
      <w:r w:rsidRPr="000E0B3D">
        <w:t xml:space="preserve">Distribution from income that was taxed </w:t>
      </w:r>
      <w:r w:rsidRPr="00E07018">
        <w:t>at the fund level</w:t>
      </w:r>
      <w:r w:rsidRPr="000E0B3D">
        <w:t>, in accordance with section 64x4(e).</w:t>
      </w:r>
    </w:p>
    <w:p w:rsidR="009062E5" w:rsidRPr="000E0B3D" w:rsidRDefault="00E0243F" w:rsidP="009062E5">
      <w:pPr>
        <w:pStyle w:val="22"/>
        <w:ind w:left="1080"/>
        <w:jc w:val="both"/>
      </w:pPr>
    </w:p>
    <w:p w:rsidR="004B07BE" w:rsidRPr="000E0B3D" w:rsidRDefault="005B6E2C" w:rsidP="005B6E2C">
      <w:pPr>
        <w:pStyle w:val="22"/>
        <w:numPr>
          <w:ilvl w:val="0"/>
          <w:numId w:val="1"/>
        </w:numPr>
        <w:jc w:val="both"/>
      </w:pPr>
      <w:r w:rsidRPr="000E0B3D">
        <w:t>Number of dormant securities of the corporation that are not entitled to the payment of the dividend, for which a letter of waiver of the receipt of the dividend must be provided</w:t>
      </w:r>
      <w:r>
        <w:t>: 0</w:t>
      </w:r>
    </w:p>
    <w:p w:rsidR="004B07BE" w:rsidRPr="000E0B3D" w:rsidRDefault="00E0243F" w:rsidP="004B07BE">
      <w:pPr>
        <w:pStyle w:val="22"/>
        <w:ind w:left="720"/>
        <w:jc w:val="both"/>
      </w:pPr>
    </w:p>
    <w:p w:rsidR="004B07BE" w:rsidRPr="000E0B3D" w:rsidRDefault="005B6E2C" w:rsidP="005B6E2C">
      <w:pPr>
        <w:pStyle w:val="22"/>
        <w:numPr>
          <w:ilvl w:val="0"/>
          <w:numId w:val="1"/>
        </w:numPr>
        <w:jc w:val="both"/>
      </w:pPr>
      <w:r w:rsidRPr="000E0B3D">
        <w:t xml:space="preserve">Impact of the distribution of the dividend on convertible securities: The </w:t>
      </w:r>
      <w:proofErr w:type="gramStart"/>
      <w:r w:rsidRPr="000E0B3D">
        <w:t>company</w:t>
      </w:r>
      <w:proofErr w:type="gramEnd"/>
      <w:r w:rsidRPr="000E0B3D">
        <w:t xml:space="preserve"> does not have any convertible securities.</w:t>
      </w:r>
    </w:p>
    <w:p w:rsidR="004B07BE" w:rsidRPr="000E0B3D" w:rsidRDefault="00E0243F" w:rsidP="004B07BE">
      <w:pPr>
        <w:pStyle w:val="af2"/>
      </w:pPr>
    </w:p>
    <w:p w:rsidR="004B07BE" w:rsidRPr="00E0243F" w:rsidRDefault="005B6E2C" w:rsidP="00CA2C72">
      <w:pPr>
        <w:pStyle w:val="22"/>
        <w:numPr>
          <w:ilvl w:val="0"/>
          <w:numId w:val="1"/>
        </w:numPr>
        <w:jc w:val="both"/>
        <w:rPr>
          <w:rFonts w:asciiTheme="majorBidi" w:hAnsiTheme="majorBidi" w:cstheme="majorBidi"/>
          <w:u w:val="single"/>
        </w:rPr>
      </w:pPr>
      <w:r w:rsidRPr="000E0B3D">
        <w:rPr>
          <w:rFonts w:asciiTheme="majorBidi" w:hAnsiTheme="majorBidi" w:cstheme="majorBidi"/>
        </w:rPr>
        <w:t xml:space="preserve">Board of Directors recommendations and resolutions regarding the distribution of a dividend pursuant to section 37(a)(1) of the Securities (Periodic and Immediate </w:t>
      </w:r>
      <w:r w:rsidRPr="00E0243F">
        <w:rPr>
          <w:rFonts w:asciiTheme="majorBidi" w:hAnsiTheme="majorBidi" w:cstheme="majorBidi"/>
        </w:rPr>
        <w:t xml:space="preserve">Reports) Regulations, 5730-1970    - </w:t>
      </w:r>
      <w:r w:rsidR="00CA2C72" w:rsidRPr="00E0243F">
        <w:rPr>
          <w:rFonts w:asciiTheme="majorBidi" w:hAnsiTheme="majorBidi" w:cstheme="majorBidi"/>
          <w:u w:val="single"/>
        </w:rPr>
        <w:t>(see attached file)</w:t>
      </w:r>
    </w:p>
    <w:p w:rsidR="00D3066E" w:rsidRPr="00E0243F" w:rsidRDefault="00E0243F" w:rsidP="00290AB9">
      <w:pPr>
        <w:pStyle w:val="af2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53524" w:rsidRPr="00E0243F" w:rsidRDefault="005B6E2C" w:rsidP="00DC03AB">
      <w:pPr>
        <w:autoSpaceDE w:val="0"/>
        <w:autoSpaceDN w:val="0"/>
        <w:adjustRightInd w:val="0"/>
        <w:jc w:val="both"/>
      </w:pPr>
      <w:r w:rsidRPr="00E0243F">
        <w:rPr>
          <w:sz w:val="24"/>
          <w:szCs w:val="24"/>
        </w:rPr>
        <w:t>The report was signed by M</w:t>
      </w:r>
      <w:r w:rsidR="00DC03AB" w:rsidRPr="00E0243F">
        <w:rPr>
          <w:sz w:val="24"/>
          <w:szCs w:val="24"/>
        </w:rPr>
        <w:t>r</w:t>
      </w:r>
      <w:r w:rsidRPr="00E0243F">
        <w:rPr>
          <w:sz w:val="24"/>
          <w:szCs w:val="24"/>
        </w:rPr>
        <w:t xml:space="preserve">s. </w:t>
      </w:r>
      <w:proofErr w:type="spellStart"/>
      <w:r w:rsidRPr="00E0243F">
        <w:rPr>
          <w:sz w:val="24"/>
          <w:szCs w:val="24"/>
        </w:rPr>
        <w:t>Smadar</w:t>
      </w:r>
      <w:proofErr w:type="spellEnd"/>
      <w:r w:rsidRPr="00E0243F">
        <w:rPr>
          <w:sz w:val="24"/>
          <w:szCs w:val="24"/>
        </w:rPr>
        <w:t xml:space="preserve"> Barber-</w:t>
      </w:r>
      <w:proofErr w:type="spellStart"/>
      <w:r w:rsidRPr="00E0243F">
        <w:rPr>
          <w:sz w:val="24"/>
          <w:szCs w:val="24"/>
        </w:rPr>
        <w:t>Tsadik</w:t>
      </w:r>
      <w:proofErr w:type="spellEnd"/>
      <w:r w:rsidRPr="00E0243F">
        <w:rPr>
          <w:sz w:val="24"/>
          <w:szCs w:val="24"/>
        </w:rPr>
        <w:t xml:space="preserve">, CEO and by Attorney </w:t>
      </w:r>
      <w:proofErr w:type="spellStart"/>
      <w:r w:rsidRPr="00E0243F">
        <w:rPr>
          <w:sz w:val="24"/>
          <w:szCs w:val="24"/>
        </w:rPr>
        <w:t>Aviad</w:t>
      </w:r>
      <w:proofErr w:type="spellEnd"/>
      <w:r w:rsidRPr="00E0243F">
        <w:rPr>
          <w:sz w:val="24"/>
          <w:szCs w:val="24"/>
        </w:rPr>
        <w:t xml:space="preserve"> Biller, </w:t>
      </w:r>
      <w:r w:rsidR="00C360F1" w:rsidRPr="00E0243F">
        <w:rPr>
          <w:sz w:val="24"/>
          <w:szCs w:val="24"/>
        </w:rPr>
        <w:t xml:space="preserve">Corporate </w:t>
      </w:r>
      <w:r w:rsidRPr="00E0243F">
        <w:rPr>
          <w:sz w:val="24"/>
          <w:szCs w:val="24"/>
        </w:rPr>
        <w:t xml:space="preserve">Secretary of the Bank. </w:t>
      </w:r>
    </w:p>
    <w:p w:rsidR="00651DF1" w:rsidRPr="00536844" w:rsidRDefault="005B6E2C" w:rsidP="00651DF1">
      <w:pPr>
        <w:jc w:val="both"/>
        <w:rPr>
          <w:sz w:val="24"/>
          <w:szCs w:val="24"/>
        </w:rPr>
      </w:pPr>
      <w:r w:rsidRPr="00E0243F">
        <w:rPr>
          <w:sz w:val="24"/>
          <w:szCs w:val="24"/>
        </w:rPr>
        <w:t>__________________________________________________________________</w:t>
      </w:r>
      <w:bookmarkStart w:id="1" w:name="_GoBack"/>
      <w:bookmarkEnd w:id="1"/>
    </w:p>
    <w:p w:rsidR="00651DF1" w:rsidRPr="00536844" w:rsidRDefault="005B6E2C" w:rsidP="00651DF1">
      <w:pPr>
        <w:ind w:left="360" w:hanging="360"/>
        <w:jc w:val="both"/>
      </w:pPr>
      <w:r w:rsidRPr="00536844">
        <w:t xml:space="preserve">Name of Electronic Reporter: </w:t>
      </w:r>
      <w:proofErr w:type="spellStart"/>
      <w:r>
        <w:t>Aviad</w:t>
      </w:r>
      <w:proofErr w:type="spellEnd"/>
      <w:r>
        <w:t xml:space="preserve"> Biller</w:t>
      </w:r>
      <w:r w:rsidRPr="00536844">
        <w:t xml:space="preserve">, Position: </w:t>
      </w:r>
      <w:r>
        <w:t>Secretary of the Bank</w:t>
      </w:r>
    </w:p>
    <w:p w:rsidR="00651DF1" w:rsidRPr="00536844" w:rsidRDefault="005B6E2C" w:rsidP="00651DF1">
      <w:pPr>
        <w:jc w:val="both"/>
      </w:pPr>
      <w:r>
        <w:t>42 Rothschild Boulevard</w:t>
      </w:r>
      <w:r w:rsidRPr="00536844">
        <w:t xml:space="preserve">, Tel Aviv </w:t>
      </w:r>
      <w:r>
        <w:t>66883</w:t>
      </w:r>
      <w:r w:rsidRPr="00536844">
        <w:t xml:space="preserve">, </w:t>
      </w:r>
      <w:proofErr w:type="gramStart"/>
      <w:r w:rsidRPr="00536844">
        <w:t>Phone</w:t>
      </w:r>
      <w:proofErr w:type="gramEnd"/>
      <w:r w:rsidRPr="00536844">
        <w:t xml:space="preserve">: </w:t>
      </w:r>
      <w:r>
        <w:t>03-5196223</w:t>
      </w:r>
      <w:r w:rsidRPr="00536844">
        <w:t xml:space="preserve">, </w:t>
      </w:r>
      <w:r>
        <w:t>Fax</w:t>
      </w:r>
      <w:r w:rsidRPr="00536844">
        <w:t xml:space="preserve">: </w:t>
      </w:r>
      <w:r>
        <w:t>03-5100316</w:t>
      </w:r>
    </w:p>
    <w:p w:rsidR="00651DF1" w:rsidRDefault="005B6E2C" w:rsidP="00651DF1">
      <w:pPr>
        <w:ind w:left="360" w:hanging="360"/>
        <w:jc w:val="both"/>
        <w:rPr>
          <w:color w:val="0000FF"/>
          <w:u w:val="single"/>
        </w:rPr>
      </w:pPr>
      <w:proofErr w:type="spellStart"/>
      <w:r w:rsidRPr="00536844">
        <w:t>E</w:t>
      </w:r>
      <w:r>
        <w:t>m</w:t>
      </w:r>
      <w:r w:rsidRPr="00536844">
        <w:t>ail:</w:t>
      </w:r>
      <w:r>
        <w:rPr>
          <w:color w:val="0000FF"/>
          <w:u w:val="single"/>
        </w:rPr>
        <w:t>biller.a@fibi.co.il</w:t>
      </w:r>
      <w:proofErr w:type="spellEnd"/>
    </w:p>
    <w:p w:rsidR="005D211E" w:rsidRPr="00651DF1" w:rsidRDefault="00E0243F" w:rsidP="00651DF1">
      <w:pPr>
        <w:rPr>
          <w:rFonts w:asciiTheme="majorBidi" w:hAnsiTheme="majorBidi" w:cstheme="majorBidi"/>
          <w:sz w:val="24"/>
          <w:szCs w:val="24"/>
        </w:rPr>
      </w:pPr>
    </w:p>
    <w:sectPr w:rsidR="005D211E" w:rsidRPr="00651DF1">
      <w:footerReference w:type="default" r:id="rId9"/>
      <w:pgSz w:w="12240" w:h="15840"/>
      <w:pgMar w:top="1418" w:right="1588" w:bottom="141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CD" w:rsidRDefault="00EF63CD">
      <w:r>
        <w:separator/>
      </w:r>
    </w:p>
  </w:endnote>
  <w:endnote w:type="continuationSeparator" w:id="0">
    <w:p w:rsidR="00EF63CD" w:rsidRDefault="00EF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33" w:rsidRDefault="005B6E2C" w:rsidP="00F54DA0">
    <w:pPr>
      <w:pStyle w:val="ae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E0243F">
      <w:rPr>
        <w:rStyle w:val="af"/>
        <w:noProof/>
      </w:rPr>
      <w:t>4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CD" w:rsidRDefault="00EF63CD">
      <w:r>
        <w:separator/>
      </w:r>
    </w:p>
  </w:footnote>
  <w:footnote w:type="continuationSeparator" w:id="0">
    <w:p w:rsidR="00EF63CD" w:rsidRDefault="00EF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DEB"/>
    <w:multiLevelType w:val="hybridMultilevel"/>
    <w:tmpl w:val="F4C60B62"/>
    <w:lvl w:ilvl="0" w:tplc="8A60F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8AA58" w:tentative="1">
      <w:start w:val="1"/>
      <w:numFmt w:val="lowerLetter"/>
      <w:lvlText w:val="%2."/>
      <w:lvlJc w:val="left"/>
      <w:pPr>
        <w:ind w:left="1440" w:hanging="360"/>
      </w:pPr>
    </w:lvl>
    <w:lvl w:ilvl="2" w:tplc="7E70EEE2" w:tentative="1">
      <w:start w:val="1"/>
      <w:numFmt w:val="lowerRoman"/>
      <w:lvlText w:val="%3."/>
      <w:lvlJc w:val="right"/>
      <w:pPr>
        <w:ind w:left="2160" w:hanging="180"/>
      </w:pPr>
    </w:lvl>
    <w:lvl w:ilvl="3" w:tplc="E3641830" w:tentative="1">
      <w:start w:val="1"/>
      <w:numFmt w:val="decimal"/>
      <w:lvlText w:val="%4."/>
      <w:lvlJc w:val="left"/>
      <w:pPr>
        <w:ind w:left="2880" w:hanging="360"/>
      </w:pPr>
    </w:lvl>
    <w:lvl w:ilvl="4" w:tplc="354E6F62" w:tentative="1">
      <w:start w:val="1"/>
      <w:numFmt w:val="lowerLetter"/>
      <w:lvlText w:val="%5."/>
      <w:lvlJc w:val="left"/>
      <w:pPr>
        <w:ind w:left="3600" w:hanging="360"/>
      </w:pPr>
    </w:lvl>
    <w:lvl w:ilvl="5" w:tplc="8EBA1424" w:tentative="1">
      <w:start w:val="1"/>
      <w:numFmt w:val="lowerRoman"/>
      <w:lvlText w:val="%6."/>
      <w:lvlJc w:val="right"/>
      <w:pPr>
        <w:ind w:left="4320" w:hanging="180"/>
      </w:pPr>
    </w:lvl>
    <w:lvl w:ilvl="6" w:tplc="1EBA129C" w:tentative="1">
      <w:start w:val="1"/>
      <w:numFmt w:val="decimal"/>
      <w:lvlText w:val="%7."/>
      <w:lvlJc w:val="left"/>
      <w:pPr>
        <w:ind w:left="5040" w:hanging="360"/>
      </w:pPr>
    </w:lvl>
    <w:lvl w:ilvl="7" w:tplc="2884C2C4" w:tentative="1">
      <w:start w:val="1"/>
      <w:numFmt w:val="lowerLetter"/>
      <w:lvlText w:val="%8."/>
      <w:lvlJc w:val="left"/>
      <w:pPr>
        <w:ind w:left="5760" w:hanging="360"/>
      </w:pPr>
    </w:lvl>
    <w:lvl w:ilvl="8" w:tplc="4B94F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227DB"/>
    <w:multiLevelType w:val="hybridMultilevel"/>
    <w:tmpl w:val="5BB0EA2A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8F7813"/>
    <w:multiLevelType w:val="hybridMultilevel"/>
    <w:tmpl w:val="928A55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86277A"/>
    <w:multiLevelType w:val="hybridMultilevel"/>
    <w:tmpl w:val="C7CC8B78"/>
    <w:lvl w:ilvl="0" w:tplc="12D620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61A8F960" w:tentative="1">
      <w:start w:val="1"/>
      <w:numFmt w:val="lowerLetter"/>
      <w:lvlText w:val="%2."/>
      <w:lvlJc w:val="left"/>
      <w:pPr>
        <w:ind w:left="1800" w:hanging="360"/>
      </w:pPr>
    </w:lvl>
    <w:lvl w:ilvl="2" w:tplc="6D40C07E" w:tentative="1">
      <w:start w:val="1"/>
      <w:numFmt w:val="lowerRoman"/>
      <w:lvlText w:val="%3."/>
      <w:lvlJc w:val="right"/>
      <w:pPr>
        <w:ind w:left="2520" w:hanging="180"/>
      </w:pPr>
    </w:lvl>
    <w:lvl w:ilvl="3" w:tplc="46E421E6" w:tentative="1">
      <w:start w:val="1"/>
      <w:numFmt w:val="decimal"/>
      <w:lvlText w:val="%4."/>
      <w:lvlJc w:val="left"/>
      <w:pPr>
        <w:ind w:left="3240" w:hanging="360"/>
      </w:pPr>
    </w:lvl>
    <w:lvl w:ilvl="4" w:tplc="CF52FD20" w:tentative="1">
      <w:start w:val="1"/>
      <w:numFmt w:val="lowerLetter"/>
      <w:lvlText w:val="%5."/>
      <w:lvlJc w:val="left"/>
      <w:pPr>
        <w:ind w:left="3960" w:hanging="360"/>
      </w:pPr>
    </w:lvl>
    <w:lvl w:ilvl="5" w:tplc="6ED0B652" w:tentative="1">
      <w:start w:val="1"/>
      <w:numFmt w:val="lowerRoman"/>
      <w:lvlText w:val="%6."/>
      <w:lvlJc w:val="right"/>
      <w:pPr>
        <w:ind w:left="4680" w:hanging="180"/>
      </w:pPr>
    </w:lvl>
    <w:lvl w:ilvl="6" w:tplc="20BE6312" w:tentative="1">
      <w:start w:val="1"/>
      <w:numFmt w:val="decimal"/>
      <w:lvlText w:val="%7."/>
      <w:lvlJc w:val="left"/>
      <w:pPr>
        <w:ind w:left="5400" w:hanging="360"/>
      </w:pPr>
    </w:lvl>
    <w:lvl w:ilvl="7" w:tplc="205CAE2A" w:tentative="1">
      <w:start w:val="1"/>
      <w:numFmt w:val="lowerLetter"/>
      <w:lvlText w:val="%8."/>
      <w:lvlJc w:val="left"/>
      <w:pPr>
        <w:ind w:left="6120" w:hanging="360"/>
      </w:pPr>
    </w:lvl>
    <w:lvl w:ilvl="8" w:tplc="1846786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12"/>
    <w:rsid w:val="00223A09"/>
    <w:rsid w:val="00296B3A"/>
    <w:rsid w:val="00537FE4"/>
    <w:rsid w:val="005B6E2C"/>
    <w:rsid w:val="00647A23"/>
    <w:rsid w:val="006D4312"/>
    <w:rsid w:val="00741BA0"/>
    <w:rsid w:val="007A651F"/>
    <w:rsid w:val="00BE00A3"/>
    <w:rsid w:val="00C360F1"/>
    <w:rsid w:val="00CA2C72"/>
    <w:rsid w:val="00DC03AB"/>
    <w:rsid w:val="00E0243F"/>
    <w:rsid w:val="00E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43C"/>
    <w:rPr>
      <w:rFonts w:cs="Miriam"/>
      <w:lang w:eastAsia="he-IL"/>
    </w:rPr>
  </w:style>
  <w:style w:type="paragraph" w:styleId="1">
    <w:name w:val="heading 1"/>
    <w:basedOn w:val="a"/>
    <w:next w:val="a"/>
    <w:qFormat/>
    <w:pPr>
      <w:keepNext/>
      <w:spacing w:line="240" w:lineRule="atLeast"/>
      <w:jc w:val="both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6521"/>
      </w:tabs>
      <w:spacing w:line="240" w:lineRule="atLeast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tabs>
        <w:tab w:val="left" w:pos="5640"/>
      </w:tabs>
      <w:spacing w:line="240" w:lineRule="atLeast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5760"/>
      </w:tabs>
      <w:spacing w:line="240" w:lineRule="atLeast"/>
      <w:jc w:val="both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pPr>
      <w:tabs>
        <w:tab w:val="left" w:pos="5760"/>
      </w:tabs>
      <w:spacing w:line="240" w:lineRule="atLeast"/>
      <w:ind w:left="709"/>
      <w:jc w:val="both"/>
    </w:pPr>
    <w:rPr>
      <w:sz w:val="22"/>
      <w:szCs w:val="24"/>
    </w:rPr>
  </w:style>
  <w:style w:type="paragraph" w:styleId="20">
    <w:name w:val="Body Text Indent 2"/>
    <w:basedOn w:val="a"/>
    <w:link w:val="21"/>
    <w:uiPriority w:val="99"/>
    <w:pPr>
      <w:tabs>
        <w:tab w:val="left" w:pos="5760"/>
      </w:tabs>
      <w:spacing w:line="240" w:lineRule="atLeast"/>
      <w:ind w:left="284"/>
      <w:jc w:val="both"/>
    </w:pPr>
    <w:rPr>
      <w:sz w:val="22"/>
      <w:szCs w:val="24"/>
    </w:rPr>
  </w:style>
  <w:style w:type="paragraph" w:styleId="30">
    <w:name w:val="Body Text Indent 3"/>
    <w:basedOn w:val="a"/>
    <w:link w:val="31"/>
    <w:pPr>
      <w:tabs>
        <w:tab w:val="left" w:pos="5760"/>
      </w:tabs>
      <w:spacing w:line="240" w:lineRule="atLeast"/>
      <w:ind w:left="567"/>
      <w:jc w:val="both"/>
    </w:pPr>
    <w:rPr>
      <w:sz w:val="24"/>
      <w:szCs w:val="24"/>
    </w:rPr>
  </w:style>
  <w:style w:type="character" w:styleId="Hyperlink">
    <w:name w:val="Hyperlink"/>
    <w:basedOn w:val="a0"/>
    <w:rPr>
      <w:color w:val="0000FF"/>
      <w:u w:val="single"/>
    </w:rPr>
  </w:style>
  <w:style w:type="paragraph" w:styleId="a6">
    <w:name w:val="Title"/>
    <w:basedOn w:val="a"/>
    <w:link w:val="a7"/>
    <w:qFormat/>
    <w:pPr>
      <w:tabs>
        <w:tab w:val="left" w:pos="1080"/>
      </w:tabs>
      <w:spacing w:line="240" w:lineRule="atLeast"/>
      <w:jc w:val="center"/>
    </w:pPr>
    <w:rPr>
      <w:b/>
      <w:bCs/>
      <w:sz w:val="24"/>
      <w:szCs w:val="24"/>
      <w:u w:val="single"/>
    </w:rPr>
  </w:style>
  <w:style w:type="paragraph" w:styleId="22">
    <w:name w:val="Body Text 2"/>
    <w:basedOn w:val="a"/>
    <w:link w:val="23"/>
    <w:pPr>
      <w:jc w:val="center"/>
    </w:pPr>
    <w:rPr>
      <w:rFonts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0690D"/>
  </w:style>
  <w:style w:type="character" w:styleId="aa">
    <w:name w:val="footnote reference"/>
    <w:basedOn w:val="a0"/>
    <w:semiHidden/>
    <w:rsid w:val="0060690D"/>
    <w:rPr>
      <w:vertAlign w:val="superscript"/>
    </w:rPr>
  </w:style>
  <w:style w:type="paragraph" w:customStyle="1" w:styleId="Style2">
    <w:name w:val="Style2"/>
    <w:basedOn w:val="a"/>
    <w:rsid w:val="00CD7BC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320" w:lineRule="exact"/>
      <w:ind w:left="720" w:right="1440" w:hanging="720"/>
      <w:jc w:val="both"/>
    </w:pPr>
    <w:rPr>
      <w:rFonts w:cs="David"/>
      <w:sz w:val="26"/>
      <w:szCs w:val="26"/>
      <w:lang w:val="en-GB"/>
    </w:rPr>
  </w:style>
  <w:style w:type="paragraph" w:customStyle="1" w:styleId="Style3">
    <w:name w:val="Style3"/>
    <w:basedOn w:val="Style2"/>
    <w:rsid w:val="00CD7BCD"/>
    <w:pPr>
      <w:tabs>
        <w:tab w:val="clear" w:pos="1440"/>
      </w:tabs>
      <w:ind w:right="2160"/>
    </w:pPr>
    <w:rPr>
      <w:lang w:val="en-US"/>
    </w:rPr>
  </w:style>
  <w:style w:type="paragraph" w:customStyle="1" w:styleId="style4">
    <w:name w:val="style4"/>
    <w:basedOn w:val="a"/>
    <w:autoRedefine/>
    <w:rsid w:val="00CE049D"/>
    <w:pPr>
      <w:ind w:left="425"/>
      <w:jc w:val="both"/>
    </w:pPr>
    <w:rPr>
      <w:rFonts w:cs="David"/>
      <w:sz w:val="24"/>
      <w:szCs w:val="24"/>
      <w:lang w:val="en-GB"/>
    </w:rPr>
  </w:style>
  <w:style w:type="character" w:styleId="ab">
    <w:name w:val="annotation reference"/>
    <w:basedOn w:val="a0"/>
    <w:semiHidden/>
    <w:rsid w:val="009142C0"/>
    <w:rPr>
      <w:sz w:val="16"/>
      <w:szCs w:val="16"/>
    </w:rPr>
  </w:style>
  <w:style w:type="table" w:styleId="ac">
    <w:name w:val="Table Grid"/>
    <w:basedOn w:val="a1"/>
    <w:rsid w:val="0091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rsid w:val="009142C0"/>
    <w:pPr>
      <w:tabs>
        <w:tab w:val="center" w:pos="4153"/>
        <w:tab w:val="right" w:pos="8306"/>
      </w:tabs>
    </w:pPr>
  </w:style>
  <w:style w:type="paragraph" w:styleId="ae">
    <w:name w:val="footer"/>
    <w:basedOn w:val="a"/>
    <w:rsid w:val="009142C0"/>
    <w:pPr>
      <w:tabs>
        <w:tab w:val="center" w:pos="4153"/>
        <w:tab w:val="right" w:pos="8306"/>
      </w:tabs>
    </w:pPr>
  </w:style>
  <w:style w:type="character" w:styleId="af">
    <w:name w:val="page number"/>
    <w:basedOn w:val="a0"/>
    <w:rsid w:val="009142C0"/>
  </w:style>
  <w:style w:type="paragraph" w:customStyle="1" w:styleId="11">
    <w:name w:val="היס11"/>
    <w:basedOn w:val="a"/>
    <w:rsid w:val="00361DD6"/>
    <w:pPr>
      <w:keepLines/>
      <w:bidi/>
      <w:spacing w:line="280" w:lineRule="exact"/>
      <w:ind w:left="851"/>
      <w:jc w:val="both"/>
    </w:pPr>
    <w:rPr>
      <w:rFonts w:cs="David"/>
      <w:sz w:val="24"/>
      <w:szCs w:val="24"/>
      <w:lang w:eastAsia="en-US"/>
    </w:rPr>
  </w:style>
  <w:style w:type="paragraph" w:customStyle="1" w:styleId="220">
    <w:name w:val="היס22"/>
    <w:basedOn w:val="a"/>
    <w:rsid w:val="00361DD6"/>
    <w:pPr>
      <w:keepLines/>
      <w:bidi/>
      <w:spacing w:line="280" w:lineRule="exact"/>
      <w:ind w:left="1985"/>
      <w:jc w:val="both"/>
    </w:pPr>
    <w:rPr>
      <w:rFonts w:cs="David"/>
      <w:sz w:val="24"/>
      <w:szCs w:val="24"/>
      <w:lang w:eastAsia="en-US"/>
    </w:rPr>
  </w:style>
  <w:style w:type="character" w:customStyle="1" w:styleId="31">
    <w:name w:val="כניסה בגוף טקסט 3 תו"/>
    <w:basedOn w:val="a0"/>
    <w:link w:val="30"/>
    <w:rsid w:val="0050720E"/>
    <w:rPr>
      <w:rFonts w:cs="Miriam"/>
      <w:sz w:val="24"/>
      <w:szCs w:val="24"/>
      <w:lang w:eastAsia="he-IL"/>
    </w:rPr>
  </w:style>
  <w:style w:type="character" w:customStyle="1" w:styleId="a9">
    <w:name w:val="טקסט הערת שוליים תו"/>
    <w:basedOn w:val="a0"/>
    <w:link w:val="a8"/>
    <w:semiHidden/>
    <w:rsid w:val="0050720E"/>
    <w:rPr>
      <w:rFonts w:cs="Miriam"/>
      <w:lang w:eastAsia="he-IL"/>
    </w:rPr>
  </w:style>
  <w:style w:type="paragraph" w:customStyle="1" w:styleId="CharChar1">
    <w:name w:val="Char Char1"/>
    <w:basedOn w:val="a"/>
    <w:rsid w:val="00E11850"/>
    <w:pPr>
      <w:spacing w:before="240" w:after="160" w:line="240" w:lineRule="exact"/>
    </w:pPr>
    <w:rPr>
      <w:rFonts w:ascii="Tahoma" w:hAnsi="Tahoma" w:cs="Tahoma"/>
      <w:lang w:eastAsia="en-US" w:bidi="ar-SA"/>
    </w:rPr>
  </w:style>
  <w:style w:type="paragraph" w:styleId="32">
    <w:name w:val="Body Text 3"/>
    <w:basedOn w:val="a"/>
    <w:link w:val="33"/>
    <w:unhideWhenUsed/>
    <w:rsid w:val="00E11850"/>
    <w:pPr>
      <w:spacing w:after="120"/>
    </w:pPr>
    <w:rPr>
      <w:sz w:val="16"/>
      <w:szCs w:val="16"/>
    </w:rPr>
  </w:style>
  <w:style w:type="character" w:customStyle="1" w:styleId="33">
    <w:name w:val="גוף טקסט 3 תו"/>
    <w:basedOn w:val="a0"/>
    <w:link w:val="32"/>
    <w:rsid w:val="00E11850"/>
    <w:rPr>
      <w:rFonts w:cs="Miriam"/>
      <w:sz w:val="16"/>
      <w:szCs w:val="16"/>
      <w:lang w:eastAsia="he-IL"/>
    </w:rPr>
  </w:style>
  <w:style w:type="character" w:customStyle="1" w:styleId="23">
    <w:name w:val="גוף טקסט 2 תו"/>
    <w:basedOn w:val="a0"/>
    <w:link w:val="22"/>
    <w:rsid w:val="00E11850"/>
    <w:rPr>
      <w:sz w:val="24"/>
      <w:szCs w:val="24"/>
      <w:lang w:eastAsia="he-IL"/>
    </w:rPr>
  </w:style>
  <w:style w:type="character" w:customStyle="1" w:styleId="a5">
    <w:name w:val="כניסה בגוף טקסט תו"/>
    <w:basedOn w:val="a0"/>
    <w:link w:val="a4"/>
    <w:uiPriority w:val="99"/>
    <w:rsid w:val="00E11850"/>
    <w:rPr>
      <w:rFonts w:cs="Miriam"/>
      <w:sz w:val="22"/>
      <w:szCs w:val="24"/>
      <w:lang w:eastAsia="he-IL"/>
    </w:rPr>
  </w:style>
  <w:style w:type="character" w:customStyle="1" w:styleId="21">
    <w:name w:val="כניסה בגוף טקסט 2 תו"/>
    <w:basedOn w:val="a0"/>
    <w:link w:val="20"/>
    <w:uiPriority w:val="99"/>
    <w:rsid w:val="00E11850"/>
    <w:rPr>
      <w:rFonts w:cs="Miriam"/>
      <w:sz w:val="22"/>
      <w:szCs w:val="24"/>
      <w:lang w:eastAsia="he-IL"/>
    </w:rPr>
  </w:style>
  <w:style w:type="paragraph" w:styleId="af0">
    <w:name w:val="Balloon Text"/>
    <w:basedOn w:val="a"/>
    <w:link w:val="af1"/>
    <w:rsid w:val="00B97871"/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rsid w:val="00B97871"/>
    <w:rPr>
      <w:rFonts w:ascii="Tahoma" w:hAnsi="Tahoma" w:cs="Tahoma"/>
      <w:sz w:val="16"/>
      <w:szCs w:val="16"/>
      <w:lang w:eastAsia="he-IL"/>
    </w:rPr>
  </w:style>
  <w:style w:type="paragraph" w:styleId="af2">
    <w:name w:val="List Paragraph"/>
    <w:basedOn w:val="a"/>
    <w:uiPriority w:val="34"/>
    <w:qFormat/>
    <w:rsid w:val="0075679F"/>
    <w:pPr>
      <w:spacing w:after="200" w:line="276" w:lineRule="auto"/>
      <w:ind w:left="720"/>
      <w:contextualSpacing/>
    </w:pPr>
    <w:rPr>
      <w:rFonts w:cs="David"/>
      <w:sz w:val="22"/>
      <w:szCs w:val="22"/>
      <w:lang w:eastAsia="en-US" w:bidi="en-US"/>
    </w:rPr>
  </w:style>
  <w:style w:type="paragraph" w:customStyle="1" w:styleId="ListParagraph1">
    <w:name w:val="List Paragraph1"/>
    <w:basedOn w:val="a"/>
    <w:uiPriority w:val="34"/>
    <w:qFormat/>
    <w:rsid w:val="00D30D5D"/>
    <w:pPr>
      <w:spacing w:after="200" w:line="276" w:lineRule="auto"/>
      <w:ind w:left="720"/>
      <w:contextualSpacing/>
    </w:pPr>
    <w:rPr>
      <w:rFonts w:cs="David"/>
      <w:sz w:val="22"/>
      <w:szCs w:val="22"/>
      <w:lang w:eastAsia="en-US" w:bidi="en-US"/>
    </w:rPr>
  </w:style>
  <w:style w:type="paragraph" w:customStyle="1" w:styleId="normal-bold-center-under">
    <w:name w:val="normal-bold-center-under"/>
    <w:basedOn w:val="a"/>
    <w:rsid w:val="00E67851"/>
    <w:pPr>
      <w:spacing w:before="120"/>
      <w:jc w:val="center"/>
    </w:pPr>
    <w:rPr>
      <w:rFonts w:cs="Times New Roman"/>
      <w:b/>
      <w:bCs/>
      <w:sz w:val="24"/>
      <w:szCs w:val="24"/>
      <w:u w:val="single"/>
    </w:rPr>
  </w:style>
  <w:style w:type="paragraph" w:customStyle="1" w:styleId="normalboldunderline">
    <w:name w:val="normal bold underline"/>
    <w:basedOn w:val="a"/>
    <w:rsid w:val="00E67851"/>
    <w:pPr>
      <w:spacing w:before="120"/>
    </w:pPr>
    <w:rPr>
      <w:rFonts w:cs="Times New Roman"/>
      <w:b/>
      <w:bCs/>
      <w:sz w:val="24"/>
      <w:szCs w:val="24"/>
      <w:u w:val="single"/>
    </w:rPr>
  </w:style>
  <w:style w:type="paragraph" w:customStyle="1" w:styleId="body-1text">
    <w:name w:val="body-1 text"/>
    <w:basedOn w:val="a"/>
    <w:rsid w:val="00E67851"/>
    <w:pPr>
      <w:spacing w:before="60"/>
      <w:ind w:left="340"/>
    </w:pPr>
    <w:rPr>
      <w:rFonts w:cs="Times New Roman"/>
      <w:sz w:val="24"/>
      <w:szCs w:val="24"/>
    </w:rPr>
  </w:style>
  <w:style w:type="paragraph" w:customStyle="1" w:styleId="body-1">
    <w:name w:val="body-1"/>
    <w:basedOn w:val="a"/>
    <w:rsid w:val="00E67851"/>
    <w:pPr>
      <w:spacing w:before="120"/>
      <w:ind w:left="340" w:hanging="340"/>
      <w:contextualSpacing/>
    </w:pPr>
    <w:rPr>
      <w:rFonts w:cs="David"/>
      <w:sz w:val="24"/>
      <w:szCs w:val="24"/>
      <w:lang w:eastAsia="en-US" w:bidi="en-US"/>
    </w:rPr>
  </w:style>
  <w:style w:type="paragraph" w:customStyle="1" w:styleId="body-11">
    <w:name w:val="body-1.1"/>
    <w:basedOn w:val="a"/>
    <w:rsid w:val="00E67851"/>
    <w:pPr>
      <w:spacing w:before="60"/>
      <w:ind w:left="907" w:hanging="567"/>
    </w:pPr>
    <w:rPr>
      <w:rFonts w:cs="Times New Roman"/>
      <w:sz w:val="24"/>
      <w:szCs w:val="24"/>
    </w:rPr>
  </w:style>
  <w:style w:type="paragraph" w:customStyle="1" w:styleId="normalflushright">
    <w:name w:val="normal flush right"/>
    <w:basedOn w:val="a"/>
    <w:rsid w:val="00E67851"/>
    <w:pPr>
      <w:spacing w:before="120"/>
      <w:jc w:val="right"/>
    </w:pPr>
    <w:rPr>
      <w:rFonts w:cs="Times New Roman"/>
      <w:sz w:val="24"/>
      <w:szCs w:val="24"/>
    </w:rPr>
  </w:style>
  <w:style w:type="character" w:customStyle="1" w:styleId="a7">
    <w:name w:val="כותרת טקסט תו"/>
    <w:basedOn w:val="a0"/>
    <w:link w:val="a6"/>
    <w:rsid w:val="00631316"/>
    <w:rPr>
      <w:rFonts w:cs="Miriam"/>
      <w:b/>
      <w:bCs/>
      <w:sz w:val="24"/>
      <w:szCs w:val="24"/>
      <w:u w:val="single"/>
      <w:lang w:eastAsia="he-IL"/>
    </w:rPr>
  </w:style>
  <w:style w:type="character" w:styleId="af3">
    <w:name w:val="Emphasis"/>
    <w:basedOn w:val="a0"/>
    <w:uiPriority w:val="20"/>
    <w:qFormat/>
    <w:rsid w:val="002917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43C"/>
    <w:rPr>
      <w:rFonts w:cs="Miriam"/>
      <w:lang w:eastAsia="he-IL"/>
    </w:rPr>
  </w:style>
  <w:style w:type="paragraph" w:styleId="1">
    <w:name w:val="heading 1"/>
    <w:basedOn w:val="a"/>
    <w:next w:val="a"/>
    <w:qFormat/>
    <w:pPr>
      <w:keepNext/>
      <w:spacing w:line="240" w:lineRule="atLeast"/>
      <w:jc w:val="both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6521"/>
      </w:tabs>
      <w:spacing w:line="240" w:lineRule="atLeast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tabs>
        <w:tab w:val="left" w:pos="5640"/>
      </w:tabs>
      <w:spacing w:line="240" w:lineRule="atLeast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5760"/>
      </w:tabs>
      <w:spacing w:line="240" w:lineRule="atLeast"/>
      <w:jc w:val="both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pPr>
      <w:tabs>
        <w:tab w:val="left" w:pos="5760"/>
      </w:tabs>
      <w:spacing w:line="240" w:lineRule="atLeast"/>
      <w:ind w:left="709"/>
      <w:jc w:val="both"/>
    </w:pPr>
    <w:rPr>
      <w:sz w:val="22"/>
      <w:szCs w:val="24"/>
    </w:rPr>
  </w:style>
  <w:style w:type="paragraph" w:styleId="20">
    <w:name w:val="Body Text Indent 2"/>
    <w:basedOn w:val="a"/>
    <w:link w:val="21"/>
    <w:uiPriority w:val="99"/>
    <w:pPr>
      <w:tabs>
        <w:tab w:val="left" w:pos="5760"/>
      </w:tabs>
      <w:spacing w:line="240" w:lineRule="atLeast"/>
      <w:ind w:left="284"/>
      <w:jc w:val="both"/>
    </w:pPr>
    <w:rPr>
      <w:sz w:val="22"/>
      <w:szCs w:val="24"/>
    </w:rPr>
  </w:style>
  <w:style w:type="paragraph" w:styleId="30">
    <w:name w:val="Body Text Indent 3"/>
    <w:basedOn w:val="a"/>
    <w:link w:val="31"/>
    <w:pPr>
      <w:tabs>
        <w:tab w:val="left" w:pos="5760"/>
      </w:tabs>
      <w:spacing w:line="240" w:lineRule="atLeast"/>
      <w:ind w:left="567"/>
      <w:jc w:val="both"/>
    </w:pPr>
    <w:rPr>
      <w:sz w:val="24"/>
      <w:szCs w:val="24"/>
    </w:rPr>
  </w:style>
  <w:style w:type="character" w:styleId="Hyperlink">
    <w:name w:val="Hyperlink"/>
    <w:basedOn w:val="a0"/>
    <w:rPr>
      <w:color w:val="0000FF"/>
      <w:u w:val="single"/>
    </w:rPr>
  </w:style>
  <w:style w:type="paragraph" w:styleId="a6">
    <w:name w:val="Title"/>
    <w:basedOn w:val="a"/>
    <w:link w:val="a7"/>
    <w:qFormat/>
    <w:pPr>
      <w:tabs>
        <w:tab w:val="left" w:pos="1080"/>
      </w:tabs>
      <w:spacing w:line="240" w:lineRule="atLeast"/>
      <w:jc w:val="center"/>
    </w:pPr>
    <w:rPr>
      <w:b/>
      <w:bCs/>
      <w:sz w:val="24"/>
      <w:szCs w:val="24"/>
      <w:u w:val="single"/>
    </w:rPr>
  </w:style>
  <w:style w:type="paragraph" w:styleId="22">
    <w:name w:val="Body Text 2"/>
    <w:basedOn w:val="a"/>
    <w:link w:val="23"/>
    <w:pPr>
      <w:jc w:val="center"/>
    </w:pPr>
    <w:rPr>
      <w:rFonts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0690D"/>
  </w:style>
  <w:style w:type="character" w:styleId="aa">
    <w:name w:val="footnote reference"/>
    <w:basedOn w:val="a0"/>
    <w:semiHidden/>
    <w:rsid w:val="0060690D"/>
    <w:rPr>
      <w:vertAlign w:val="superscript"/>
    </w:rPr>
  </w:style>
  <w:style w:type="paragraph" w:customStyle="1" w:styleId="Style2">
    <w:name w:val="Style2"/>
    <w:basedOn w:val="a"/>
    <w:rsid w:val="00CD7BC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320" w:lineRule="exact"/>
      <w:ind w:left="720" w:right="1440" w:hanging="720"/>
      <w:jc w:val="both"/>
    </w:pPr>
    <w:rPr>
      <w:rFonts w:cs="David"/>
      <w:sz w:val="26"/>
      <w:szCs w:val="26"/>
      <w:lang w:val="en-GB"/>
    </w:rPr>
  </w:style>
  <w:style w:type="paragraph" w:customStyle="1" w:styleId="Style3">
    <w:name w:val="Style3"/>
    <w:basedOn w:val="Style2"/>
    <w:rsid w:val="00CD7BCD"/>
    <w:pPr>
      <w:tabs>
        <w:tab w:val="clear" w:pos="1440"/>
      </w:tabs>
      <w:ind w:right="2160"/>
    </w:pPr>
    <w:rPr>
      <w:lang w:val="en-US"/>
    </w:rPr>
  </w:style>
  <w:style w:type="paragraph" w:customStyle="1" w:styleId="style4">
    <w:name w:val="style4"/>
    <w:basedOn w:val="a"/>
    <w:autoRedefine/>
    <w:rsid w:val="00CE049D"/>
    <w:pPr>
      <w:ind w:left="425"/>
      <w:jc w:val="both"/>
    </w:pPr>
    <w:rPr>
      <w:rFonts w:cs="David"/>
      <w:sz w:val="24"/>
      <w:szCs w:val="24"/>
      <w:lang w:val="en-GB"/>
    </w:rPr>
  </w:style>
  <w:style w:type="character" w:styleId="ab">
    <w:name w:val="annotation reference"/>
    <w:basedOn w:val="a0"/>
    <w:semiHidden/>
    <w:rsid w:val="009142C0"/>
    <w:rPr>
      <w:sz w:val="16"/>
      <w:szCs w:val="16"/>
    </w:rPr>
  </w:style>
  <w:style w:type="table" w:styleId="ac">
    <w:name w:val="Table Grid"/>
    <w:basedOn w:val="a1"/>
    <w:rsid w:val="0091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rsid w:val="009142C0"/>
    <w:pPr>
      <w:tabs>
        <w:tab w:val="center" w:pos="4153"/>
        <w:tab w:val="right" w:pos="8306"/>
      </w:tabs>
    </w:pPr>
  </w:style>
  <w:style w:type="paragraph" w:styleId="ae">
    <w:name w:val="footer"/>
    <w:basedOn w:val="a"/>
    <w:rsid w:val="009142C0"/>
    <w:pPr>
      <w:tabs>
        <w:tab w:val="center" w:pos="4153"/>
        <w:tab w:val="right" w:pos="8306"/>
      </w:tabs>
    </w:pPr>
  </w:style>
  <w:style w:type="character" w:styleId="af">
    <w:name w:val="page number"/>
    <w:basedOn w:val="a0"/>
    <w:rsid w:val="009142C0"/>
  </w:style>
  <w:style w:type="paragraph" w:customStyle="1" w:styleId="11">
    <w:name w:val="היס11"/>
    <w:basedOn w:val="a"/>
    <w:rsid w:val="00361DD6"/>
    <w:pPr>
      <w:keepLines/>
      <w:bidi/>
      <w:spacing w:line="280" w:lineRule="exact"/>
      <w:ind w:left="851"/>
      <w:jc w:val="both"/>
    </w:pPr>
    <w:rPr>
      <w:rFonts w:cs="David"/>
      <w:sz w:val="24"/>
      <w:szCs w:val="24"/>
      <w:lang w:eastAsia="en-US"/>
    </w:rPr>
  </w:style>
  <w:style w:type="paragraph" w:customStyle="1" w:styleId="220">
    <w:name w:val="היס22"/>
    <w:basedOn w:val="a"/>
    <w:rsid w:val="00361DD6"/>
    <w:pPr>
      <w:keepLines/>
      <w:bidi/>
      <w:spacing w:line="280" w:lineRule="exact"/>
      <w:ind w:left="1985"/>
      <w:jc w:val="both"/>
    </w:pPr>
    <w:rPr>
      <w:rFonts w:cs="David"/>
      <w:sz w:val="24"/>
      <w:szCs w:val="24"/>
      <w:lang w:eastAsia="en-US"/>
    </w:rPr>
  </w:style>
  <w:style w:type="character" w:customStyle="1" w:styleId="31">
    <w:name w:val="כניסה בגוף טקסט 3 תו"/>
    <w:basedOn w:val="a0"/>
    <w:link w:val="30"/>
    <w:rsid w:val="0050720E"/>
    <w:rPr>
      <w:rFonts w:cs="Miriam"/>
      <w:sz w:val="24"/>
      <w:szCs w:val="24"/>
      <w:lang w:eastAsia="he-IL"/>
    </w:rPr>
  </w:style>
  <w:style w:type="character" w:customStyle="1" w:styleId="a9">
    <w:name w:val="טקסט הערת שוליים תו"/>
    <w:basedOn w:val="a0"/>
    <w:link w:val="a8"/>
    <w:semiHidden/>
    <w:rsid w:val="0050720E"/>
    <w:rPr>
      <w:rFonts w:cs="Miriam"/>
      <w:lang w:eastAsia="he-IL"/>
    </w:rPr>
  </w:style>
  <w:style w:type="paragraph" w:customStyle="1" w:styleId="CharChar1">
    <w:name w:val="Char Char1"/>
    <w:basedOn w:val="a"/>
    <w:rsid w:val="00E11850"/>
    <w:pPr>
      <w:spacing w:before="240" w:after="160" w:line="240" w:lineRule="exact"/>
    </w:pPr>
    <w:rPr>
      <w:rFonts w:ascii="Tahoma" w:hAnsi="Tahoma" w:cs="Tahoma"/>
      <w:lang w:eastAsia="en-US" w:bidi="ar-SA"/>
    </w:rPr>
  </w:style>
  <w:style w:type="paragraph" w:styleId="32">
    <w:name w:val="Body Text 3"/>
    <w:basedOn w:val="a"/>
    <w:link w:val="33"/>
    <w:unhideWhenUsed/>
    <w:rsid w:val="00E11850"/>
    <w:pPr>
      <w:spacing w:after="120"/>
    </w:pPr>
    <w:rPr>
      <w:sz w:val="16"/>
      <w:szCs w:val="16"/>
    </w:rPr>
  </w:style>
  <w:style w:type="character" w:customStyle="1" w:styleId="33">
    <w:name w:val="גוף טקסט 3 תו"/>
    <w:basedOn w:val="a0"/>
    <w:link w:val="32"/>
    <w:rsid w:val="00E11850"/>
    <w:rPr>
      <w:rFonts w:cs="Miriam"/>
      <w:sz w:val="16"/>
      <w:szCs w:val="16"/>
      <w:lang w:eastAsia="he-IL"/>
    </w:rPr>
  </w:style>
  <w:style w:type="character" w:customStyle="1" w:styleId="23">
    <w:name w:val="גוף טקסט 2 תו"/>
    <w:basedOn w:val="a0"/>
    <w:link w:val="22"/>
    <w:rsid w:val="00E11850"/>
    <w:rPr>
      <w:sz w:val="24"/>
      <w:szCs w:val="24"/>
      <w:lang w:eastAsia="he-IL"/>
    </w:rPr>
  </w:style>
  <w:style w:type="character" w:customStyle="1" w:styleId="a5">
    <w:name w:val="כניסה בגוף טקסט תו"/>
    <w:basedOn w:val="a0"/>
    <w:link w:val="a4"/>
    <w:uiPriority w:val="99"/>
    <w:rsid w:val="00E11850"/>
    <w:rPr>
      <w:rFonts w:cs="Miriam"/>
      <w:sz w:val="22"/>
      <w:szCs w:val="24"/>
      <w:lang w:eastAsia="he-IL"/>
    </w:rPr>
  </w:style>
  <w:style w:type="character" w:customStyle="1" w:styleId="21">
    <w:name w:val="כניסה בגוף טקסט 2 תו"/>
    <w:basedOn w:val="a0"/>
    <w:link w:val="20"/>
    <w:uiPriority w:val="99"/>
    <w:rsid w:val="00E11850"/>
    <w:rPr>
      <w:rFonts w:cs="Miriam"/>
      <w:sz w:val="22"/>
      <w:szCs w:val="24"/>
      <w:lang w:eastAsia="he-IL"/>
    </w:rPr>
  </w:style>
  <w:style w:type="paragraph" w:styleId="af0">
    <w:name w:val="Balloon Text"/>
    <w:basedOn w:val="a"/>
    <w:link w:val="af1"/>
    <w:rsid w:val="00B97871"/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rsid w:val="00B97871"/>
    <w:rPr>
      <w:rFonts w:ascii="Tahoma" w:hAnsi="Tahoma" w:cs="Tahoma"/>
      <w:sz w:val="16"/>
      <w:szCs w:val="16"/>
      <w:lang w:eastAsia="he-IL"/>
    </w:rPr>
  </w:style>
  <w:style w:type="paragraph" w:styleId="af2">
    <w:name w:val="List Paragraph"/>
    <w:basedOn w:val="a"/>
    <w:uiPriority w:val="34"/>
    <w:qFormat/>
    <w:rsid w:val="0075679F"/>
    <w:pPr>
      <w:spacing w:after="200" w:line="276" w:lineRule="auto"/>
      <w:ind w:left="720"/>
      <w:contextualSpacing/>
    </w:pPr>
    <w:rPr>
      <w:rFonts w:cs="David"/>
      <w:sz w:val="22"/>
      <w:szCs w:val="22"/>
      <w:lang w:eastAsia="en-US" w:bidi="en-US"/>
    </w:rPr>
  </w:style>
  <w:style w:type="paragraph" w:customStyle="1" w:styleId="ListParagraph1">
    <w:name w:val="List Paragraph1"/>
    <w:basedOn w:val="a"/>
    <w:uiPriority w:val="34"/>
    <w:qFormat/>
    <w:rsid w:val="00D30D5D"/>
    <w:pPr>
      <w:spacing w:after="200" w:line="276" w:lineRule="auto"/>
      <w:ind w:left="720"/>
      <w:contextualSpacing/>
    </w:pPr>
    <w:rPr>
      <w:rFonts w:cs="David"/>
      <w:sz w:val="22"/>
      <w:szCs w:val="22"/>
      <w:lang w:eastAsia="en-US" w:bidi="en-US"/>
    </w:rPr>
  </w:style>
  <w:style w:type="paragraph" w:customStyle="1" w:styleId="normal-bold-center-under">
    <w:name w:val="normal-bold-center-under"/>
    <w:basedOn w:val="a"/>
    <w:rsid w:val="00E67851"/>
    <w:pPr>
      <w:spacing w:before="120"/>
      <w:jc w:val="center"/>
    </w:pPr>
    <w:rPr>
      <w:rFonts w:cs="Times New Roman"/>
      <w:b/>
      <w:bCs/>
      <w:sz w:val="24"/>
      <w:szCs w:val="24"/>
      <w:u w:val="single"/>
    </w:rPr>
  </w:style>
  <w:style w:type="paragraph" w:customStyle="1" w:styleId="normalboldunderline">
    <w:name w:val="normal bold underline"/>
    <w:basedOn w:val="a"/>
    <w:rsid w:val="00E67851"/>
    <w:pPr>
      <w:spacing w:before="120"/>
    </w:pPr>
    <w:rPr>
      <w:rFonts w:cs="Times New Roman"/>
      <w:b/>
      <w:bCs/>
      <w:sz w:val="24"/>
      <w:szCs w:val="24"/>
      <w:u w:val="single"/>
    </w:rPr>
  </w:style>
  <w:style w:type="paragraph" w:customStyle="1" w:styleId="body-1text">
    <w:name w:val="body-1 text"/>
    <w:basedOn w:val="a"/>
    <w:rsid w:val="00E67851"/>
    <w:pPr>
      <w:spacing w:before="60"/>
      <w:ind w:left="340"/>
    </w:pPr>
    <w:rPr>
      <w:rFonts w:cs="Times New Roman"/>
      <w:sz w:val="24"/>
      <w:szCs w:val="24"/>
    </w:rPr>
  </w:style>
  <w:style w:type="paragraph" w:customStyle="1" w:styleId="body-1">
    <w:name w:val="body-1"/>
    <w:basedOn w:val="a"/>
    <w:rsid w:val="00E67851"/>
    <w:pPr>
      <w:spacing w:before="120"/>
      <w:ind w:left="340" w:hanging="340"/>
      <w:contextualSpacing/>
    </w:pPr>
    <w:rPr>
      <w:rFonts w:cs="David"/>
      <w:sz w:val="24"/>
      <w:szCs w:val="24"/>
      <w:lang w:eastAsia="en-US" w:bidi="en-US"/>
    </w:rPr>
  </w:style>
  <w:style w:type="paragraph" w:customStyle="1" w:styleId="body-11">
    <w:name w:val="body-1.1"/>
    <w:basedOn w:val="a"/>
    <w:rsid w:val="00E67851"/>
    <w:pPr>
      <w:spacing w:before="60"/>
      <w:ind w:left="907" w:hanging="567"/>
    </w:pPr>
    <w:rPr>
      <w:rFonts w:cs="Times New Roman"/>
      <w:sz w:val="24"/>
      <w:szCs w:val="24"/>
    </w:rPr>
  </w:style>
  <w:style w:type="paragraph" w:customStyle="1" w:styleId="normalflushright">
    <w:name w:val="normal flush right"/>
    <w:basedOn w:val="a"/>
    <w:rsid w:val="00E67851"/>
    <w:pPr>
      <w:spacing w:before="120"/>
      <w:jc w:val="right"/>
    </w:pPr>
    <w:rPr>
      <w:rFonts w:cs="Times New Roman"/>
      <w:sz w:val="24"/>
      <w:szCs w:val="24"/>
    </w:rPr>
  </w:style>
  <w:style w:type="character" w:customStyle="1" w:styleId="a7">
    <w:name w:val="כותרת טקסט תו"/>
    <w:basedOn w:val="a0"/>
    <w:link w:val="a6"/>
    <w:rsid w:val="00631316"/>
    <w:rPr>
      <w:rFonts w:cs="Miriam"/>
      <w:b/>
      <w:bCs/>
      <w:sz w:val="24"/>
      <w:szCs w:val="24"/>
      <w:u w:val="single"/>
      <w:lang w:eastAsia="he-IL"/>
    </w:rPr>
  </w:style>
  <w:style w:type="character" w:styleId="af3">
    <w:name w:val="Emphasis"/>
    <w:basedOn w:val="a0"/>
    <w:uiPriority w:val="20"/>
    <w:qFormat/>
    <w:rsid w:val="00291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9C86-B934-4235-9C9A-1D9C277B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1032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fibi.corp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לוי גויס</dc:creator>
  <cp:lastModifiedBy>לוי גויס</cp:lastModifiedBy>
  <cp:revision>6</cp:revision>
  <dcterms:created xsi:type="dcterms:W3CDTF">2019-03-14T06:23:00Z</dcterms:created>
  <dcterms:modified xsi:type="dcterms:W3CDTF">2019-05-29T09:04:00Z</dcterms:modified>
</cp:coreProperties>
</file>